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ind w:left="0" w:righ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SOLICITUD DE ACCESO A LA INFORMACIÓN PÚBLICA DEL COMISIONADO DE TRANSPARENCIA Y ACCESO A LA INFORMACIÓN PÚBLICA.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ind w:left="0" w:righ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DESCRIPCIÓN DEL PROCEDIMIENTO 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4"/>
        </w:numPr>
        <w:spacing w:before="160" w:line="360" w:lineRule="auto"/>
        <w:ind w:left="720" w:right="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Presentación de formulario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 solicitud de acceso a la información pública ante Comisionado de Transparencia y Acceso a la Información Pública. Será válida cualquier presentación que permita tener constancia de:</w:t>
      </w:r>
    </w:p>
    <w:p w:rsidR="00000000" w:rsidDel="00000000" w:rsidP="00000000" w:rsidRDefault="00000000" w:rsidRPr="00000000" w14:paraId="00000004">
      <w:pPr>
        <w:widowControl w:val="0"/>
        <w:spacing w:before="0" w:line="360" w:lineRule="auto"/>
        <w:ind w:left="708.6614173228347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  <w:tab/>
        <w:t xml:space="preserve">a) La identidad del solicitante.</w:t>
      </w:r>
    </w:p>
    <w:p w:rsidR="00000000" w:rsidDel="00000000" w:rsidP="00000000" w:rsidRDefault="00000000" w:rsidRPr="00000000" w14:paraId="00000005">
      <w:pPr>
        <w:widowControl w:val="0"/>
        <w:spacing w:before="0" w:line="360" w:lineRule="auto"/>
        <w:ind w:left="1428.6614173228347" w:right="0" w:firstLine="11.338582677165334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b) La información que se solicita. </w:t>
      </w:r>
    </w:p>
    <w:p w:rsidR="00000000" w:rsidDel="00000000" w:rsidP="00000000" w:rsidRDefault="00000000" w:rsidRPr="00000000" w14:paraId="00000006">
      <w:pPr>
        <w:widowControl w:val="0"/>
        <w:spacing w:before="0" w:line="360" w:lineRule="auto"/>
        <w:ind w:left="1428.6614173228347" w:right="0" w:firstLine="11.338582677165334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c) La dirección de contacto, preferentemente electrónica, a efectos de las comunicaciones a propósito de la solicitud. </w:t>
      </w:r>
    </w:p>
    <w:p w:rsidR="00000000" w:rsidDel="00000000" w:rsidP="00000000" w:rsidRDefault="00000000" w:rsidRPr="00000000" w14:paraId="00000007">
      <w:pPr>
        <w:widowControl w:val="0"/>
        <w:spacing w:before="0" w:line="360" w:lineRule="auto"/>
        <w:ind w:left="1428.6614173228347" w:right="0" w:firstLine="11.338582677165334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d) En su caso, la modalidad preferida de acceso a la información solicitada.</w:t>
      </w:r>
    </w:p>
    <w:p w:rsidR="00000000" w:rsidDel="00000000" w:rsidP="00000000" w:rsidRDefault="00000000" w:rsidRPr="00000000" w14:paraId="00000008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Trámites incluidos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before="0" w:line="360" w:lineRule="auto"/>
        <w:ind w:left="1275.5905511811022" w:right="0" w:hanging="425.19685039370046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Presentación de solicitud.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before="0" w:line="360" w:lineRule="auto"/>
        <w:ind w:left="1275.5905511811022" w:right="0" w:hanging="425.19685039370046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Gestión de requerimientos, alegaciones, peticiones de documentación.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before="0" w:line="360" w:lineRule="auto"/>
        <w:ind w:left="1275.5905511811022" w:right="0" w:hanging="425.19685039370046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Resolución.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before="0" w:line="360" w:lineRule="auto"/>
        <w:ind w:left="1275.5905511811022" w:right="0" w:hanging="425.19685039370046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Entrega e incidencias en la puesta a disposición de la información.</w:t>
      </w:r>
    </w:p>
    <w:p w:rsidR="00000000" w:rsidDel="00000000" w:rsidP="00000000" w:rsidRDefault="00000000" w:rsidRPr="00000000" w14:paraId="0000000E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Normativa Reguladora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line="360" w:lineRule="auto"/>
        <w:ind w:left="1275" w:hanging="420"/>
        <w:rPr>
          <w:rFonts w:ascii="Montserrat" w:cs="Montserrat" w:eastAsia="Montserrat" w:hAnsi="Montserrat"/>
          <w:color w:val="00000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sz w:val="25"/>
          <w:szCs w:val="25"/>
          <w:rtl w:val="0"/>
        </w:rPr>
        <w:t xml:space="preserve">Ley 19/2013, de 9 de diciembre, de transparencia, acceso a la información pública y buen gobierno.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60" w:line="360" w:lineRule="auto"/>
        <w:ind w:left="1275" w:hanging="420"/>
        <w:rPr>
          <w:rFonts w:ascii="Montserrat" w:cs="Montserrat" w:eastAsia="Montserrat" w:hAnsi="Montserrat"/>
          <w:color w:val="000000"/>
          <w:sz w:val="25"/>
          <w:szCs w:val="25"/>
        </w:rPr>
      </w:pPr>
      <w:r w:rsidDel="00000000" w:rsidR="00000000" w:rsidRPr="00000000">
        <w:rPr>
          <w:rFonts w:ascii="Montserrat" w:cs="Montserrat" w:eastAsia="Montserrat" w:hAnsi="Montserrat"/>
          <w:sz w:val="25"/>
          <w:szCs w:val="25"/>
          <w:rtl w:val="0"/>
        </w:rPr>
        <w:t xml:space="preserve">Ley 12/2014, de 26 de diciembre, de transparencia y de acceso a la información pública.</w:t>
      </w:r>
    </w:p>
    <w:p w:rsidR="00000000" w:rsidDel="00000000" w:rsidP="00000000" w:rsidRDefault="00000000" w:rsidRPr="00000000" w14:paraId="00000012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Órgano responsable</w:t>
      </w:r>
    </w:p>
    <w:p w:rsidR="00000000" w:rsidDel="00000000" w:rsidP="00000000" w:rsidRDefault="00000000" w:rsidRPr="00000000" w14:paraId="00000015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ab/>
        <w:tab/>
        <w:t xml:space="preserve">Comisionado de Transparencia y Acceso a la información</w:t>
      </w:r>
    </w:p>
    <w:p w:rsidR="00000000" w:rsidDel="00000000" w:rsidP="00000000" w:rsidRDefault="00000000" w:rsidRPr="00000000" w14:paraId="00000016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A quién está dirigido</w:t>
      </w:r>
    </w:p>
    <w:p w:rsidR="00000000" w:rsidDel="00000000" w:rsidP="00000000" w:rsidRDefault="00000000" w:rsidRPr="00000000" w14:paraId="00000018">
      <w:pPr>
        <w:widowControl w:val="0"/>
        <w:spacing w:after="220" w:line="360" w:lineRule="auto"/>
        <w:ind w:left="720" w:firstLine="72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Ciudadanos y Empresas.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Objeto</w:t>
      </w:r>
    </w:p>
    <w:p w:rsidR="00000000" w:rsidDel="00000000" w:rsidP="00000000" w:rsidRDefault="00000000" w:rsidRPr="00000000" w14:paraId="0000001A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Instrumentar la posibilidad de acceder a la información pública que obre en poder de las entidades incluidas en el ámbito de aplicación de la Ley 12/2014, de 26 de diciembre, de transparencia y de acceso a la información pública  sin más requisitos que los establecidos en la normativa básica estatal y en esta ley.</w:t>
      </w:r>
    </w:p>
    <w:p w:rsidR="00000000" w:rsidDel="00000000" w:rsidP="00000000" w:rsidRDefault="00000000" w:rsidRPr="00000000" w14:paraId="0000001B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Inicio</w:t>
      </w:r>
    </w:p>
    <w:p w:rsidR="00000000" w:rsidDel="00000000" w:rsidP="00000000" w:rsidRDefault="00000000" w:rsidRPr="00000000" w14:paraId="0000001D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Por el interesado</w:t>
      </w:r>
    </w:p>
    <w:p w:rsidR="00000000" w:rsidDel="00000000" w:rsidP="00000000" w:rsidRDefault="00000000" w:rsidRPr="00000000" w14:paraId="0000001E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Obligatoriedad</w:t>
      </w:r>
    </w:p>
    <w:p w:rsidR="00000000" w:rsidDel="00000000" w:rsidP="00000000" w:rsidRDefault="00000000" w:rsidRPr="00000000" w14:paraId="00000020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ab/>
        <w:t xml:space="preserve">Es voluntaria su presentación</w:t>
      </w:r>
    </w:p>
    <w:p w:rsidR="00000000" w:rsidDel="00000000" w:rsidP="00000000" w:rsidRDefault="00000000" w:rsidRPr="00000000" w14:paraId="00000021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Sistema de identificación</w:t>
      </w:r>
    </w:p>
    <w:p w:rsidR="00000000" w:rsidDel="00000000" w:rsidP="00000000" w:rsidRDefault="00000000" w:rsidRPr="00000000" w14:paraId="00000023">
      <w:pPr>
        <w:widowControl w:val="0"/>
        <w:spacing w:before="0" w:line="360" w:lineRule="auto"/>
        <w:ind w:left="1417.3228346456694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Tramitación presencial: Documento Nacional de Identidad o documento identificativo equivalente, para verificar la identidad de los interesados en el procedimiento administrativo, mediante la comprobación de su nombre y apellidos o denominación o razón social.</w:t>
      </w:r>
    </w:p>
    <w:p w:rsidR="00000000" w:rsidDel="00000000" w:rsidP="00000000" w:rsidRDefault="00000000" w:rsidRPr="00000000" w14:paraId="00000024">
      <w:pPr>
        <w:widowControl w:val="0"/>
        <w:spacing w:before="0" w:line="360" w:lineRule="auto"/>
        <w:ind w:left="1417.3228346456694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0" w:line="360" w:lineRule="auto"/>
        <w:ind w:left="720" w:right="0" w:firstLine="72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Tramitación electrónica:</w:t>
      </w:r>
    </w:p>
    <w:p w:rsidR="00000000" w:rsidDel="00000000" w:rsidP="00000000" w:rsidRDefault="00000000" w:rsidRPr="00000000" w14:paraId="00000026">
      <w:pPr>
        <w:widowControl w:val="0"/>
        <w:spacing w:before="0" w:line="360" w:lineRule="auto"/>
        <w:ind w:left="2137.3228346456694" w:right="0" w:firstLine="22.67716535433067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Con certificado electrónico de identificación o DNI electrónico.</w:t>
      </w:r>
    </w:p>
    <w:p w:rsidR="00000000" w:rsidDel="00000000" w:rsidP="00000000" w:rsidRDefault="00000000" w:rsidRPr="00000000" w14:paraId="00000027">
      <w:pPr>
        <w:widowControl w:val="0"/>
        <w:spacing w:before="0" w:line="360" w:lineRule="auto"/>
        <w:ind w:left="2137.3228346456694" w:right="0" w:firstLine="22.67716535433067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Con cl@ve pin.</w:t>
      </w:r>
    </w:p>
    <w:p w:rsidR="00000000" w:rsidDel="00000000" w:rsidP="00000000" w:rsidRDefault="00000000" w:rsidRPr="00000000" w14:paraId="00000028">
      <w:pPr>
        <w:widowControl w:val="0"/>
        <w:spacing w:before="0" w:line="360" w:lineRule="auto"/>
        <w:ind w:left="1417.3228346456694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Código de expediente (usuario y contraseña)</w:t>
      </w:r>
    </w:p>
    <w:p w:rsidR="00000000" w:rsidDel="00000000" w:rsidP="00000000" w:rsidRDefault="00000000" w:rsidRPr="00000000" w14:paraId="00000029">
      <w:pPr>
        <w:widowControl w:val="0"/>
        <w:spacing w:before="0" w:line="360" w:lineRule="auto"/>
        <w:ind w:left="1417.3228346456694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Lugar de presentación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before="0" w:line="360" w:lineRule="auto"/>
        <w:ind w:left="2160" w:right="0" w:hanging="360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Telemática.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6"/>
        </w:numPr>
        <w:spacing w:before="0" w:line="360" w:lineRule="auto"/>
        <w:ind w:left="2160" w:right="0" w:hanging="360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Registro Parlamento de Canarias.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6"/>
        </w:numPr>
        <w:spacing w:before="0" w:line="360" w:lineRule="auto"/>
        <w:ind w:left="2160" w:right="0" w:hanging="360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Oficinas de correos.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6"/>
        </w:numPr>
        <w:spacing w:before="0" w:line="360" w:lineRule="auto"/>
        <w:ind w:left="2160" w:right="0" w:hanging="360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Demás lugares contemplados en el artículo 16 de la Ley 39/2015, de 1 de octubre, del Procedimiento Administrativo Común de las Administraciones Públicas.</w:t>
      </w:r>
    </w:p>
    <w:p w:rsidR="00000000" w:rsidDel="00000000" w:rsidP="00000000" w:rsidRDefault="00000000" w:rsidRPr="00000000" w14:paraId="0000002F">
      <w:pPr>
        <w:widowControl w:val="0"/>
        <w:spacing w:before="0" w:line="360" w:lineRule="auto"/>
        <w:ind w:left="216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Plazo de presentación</w:t>
      </w:r>
    </w:p>
    <w:p w:rsidR="00000000" w:rsidDel="00000000" w:rsidP="00000000" w:rsidRDefault="00000000" w:rsidRPr="00000000" w14:paraId="00000031">
      <w:pPr>
        <w:widowControl w:val="0"/>
        <w:spacing w:before="0" w:line="360" w:lineRule="auto"/>
        <w:ind w:left="720" w:right="0" w:firstLine="72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No existe plazo para la solicitud. Por tanto, en cualquier momento.</w:t>
      </w:r>
    </w:p>
    <w:p w:rsidR="00000000" w:rsidDel="00000000" w:rsidP="00000000" w:rsidRDefault="00000000" w:rsidRPr="00000000" w14:paraId="00000032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Tasas</w:t>
      </w:r>
    </w:p>
    <w:p w:rsidR="00000000" w:rsidDel="00000000" w:rsidP="00000000" w:rsidRDefault="00000000" w:rsidRPr="00000000" w14:paraId="00000034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ab/>
        <w:t xml:space="preserve">No se aplican</w:t>
      </w:r>
    </w:p>
    <w:p w:rsidR="00000000" w:rsidDel="00000000" w:rsidP="00000000" w:rsidRDefault="00000000" w:rsidRPr="00000000" w14:paraId="00000035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Documentación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before="0" w:line="360" w:lineRule="auto"/>
        <w:ind w:left="1995.5905511811022" w:right="0" w:hanging="425.19685039370046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Identificación de la persona interesada (DNI y/o NIF).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spacing w:before="0" w:line="360" w:lineRule="auto"/>
        <w:ind w:left="1995.5905511811022" w:right="0" w:hanging="425.19685039370046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La indicación de la información que se quiere conocer de los Centros de Arte, Cultura y Turismo,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5"/>
        </w:numPr>
        <w:spacing w:before="0" w:line="360" w:lineRule="auto"/>
        <w:ind w:left="1995.5905511811022" w:right="0" w:hanging="425.19685039370046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No se precisa consignar los motivos por los que se solicita la información.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5"/>
        </w:numPr>
        <w:spacing w:before="0" w:line="360" w:lineRule="auto"/>
        <w:ind w:left="1995.5905511811022" w:right="0" w:hanging="425.19685039370046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La dirección de contacto a la cual puedan dirigirse las comunicaciones a propósito de la reclamación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5"/>
        </w:numPr>
        <w:spacing w:before="0" w:line="360" w:lineRule="auto"/>
        <w:ind w:left="1995.5905511811022" w:right="0" w:hanging="425.19685039370046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En su caso, documentación acreditativa de la representación.</w:t>
      </w:r>
    </w:p>
    <w:p w:rsidR="00000000" w:rsidDel="00000000" w:rsidP="00000000" w:rsidRDefault="00000000" w:rsidRPr="00000000" w14:paraId="0000003C">
      <w:pPr>
        <w:widowControl w:val="0"/>
        <w:spacing w:before="0" w:line="360" w:lineRule="auto"/>
        <w:ind w:left="0" w:right="0" w:firstLine="72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Se recomienda aportar anexada: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3"/>
        </w:numPr>
        <w:spacing w:before="0" w:line="360" w:lineRule="auto"/>
        <w:ind w:left="1995.5905511811022" w:right="0" w:hanging="283.46456692913364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En caso de no realizar la solicitud con identificación electrónica, consignar una dirección de correo electrónico para facilitar el acceso a la información.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3"/>
        </w:numPr>
        <w:spacing w:before="0" w:line="360" w:lineRule="auto"/>
        <w:ind w:left="1995.5905511811022" w:right="0" w:hanging="283.46456692913364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Motivar la petición ya que las razones del interés en acceder pueden utilizarse para ponderar el interés público frente a otros límites y derechos.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before="0" w:line="360" w:lineRule="auto"/>
        <w:ind w:left="1995.5905511811022" w:right="0" w:hanging="283.46456692913364"/>
        <w:rPr>
          <w:rFonts w:ascii="Montserrat" w:cs="Montserrat" w:eastAsia="Montserrat" w:hAnsi="Montserrat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Cualquier otro documento que estime el solicitante.</w:t>
      </w:r>
    </w:p>
    <w:p w:rsidR="00000000" w:rsidDel="00000000" w:rsidP="00000000" w:rsidRDefault="00000000" w:rsidRPr="00000000" w14:paraId="00000040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Procedimiento</w:t>
      </w:r>
    </w:p>
    <w:p w:rsidR="00000000" w:rsidDel="00000000" w:rsidP="00000000" w:rsidRDefault="00000000" w:rsidRPr="00000000" w14:paraId="00000042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La tramitación de la solicitud se ajustará a lo establecido en los artículos 40 a 50 de la Ley 12/2014, de 26 de diciembre, de transparencia y de acceso a la información pública.</w:t>
      </w:r>
    </w:p>
    <w:p w:rsidR="00000000" w:rsidDel="00000000" w:rsidP="00000000" w:rsidRDefault="00000000" w:rsidRPr="00000000" w14:paraId="00000043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Cuando el acceso a la información se vea afectado por la protección de derechos o intereses de terceros se otorgará, previamente a la resolución de la solicitud, trámite de audiencia a las personas que pudieran resultar afectadas para que aleguen lo que a su derecho convenga. El transcurso del plazo máximo legal para resolver un procedimiento y notificar la resolución se suspenderá deba requerirse a cualquier interesado para la subsanación de deficiencias o la aportación de documentos y otros elementos de juicio necesarios, por el tiempo que medie entre la notificación del requerimiento y su efectivo cumplimiento por el destinatario, o, en su defecto, por el del plazo concedido.</w:t>
      </w:r>
    </w:p>
    <w:p w:rsidR="00000000" w:rsidDel="00000000" w:rsidP="00000000" w:rsidRDefault="00000000" w:rsidRPr="00000000" w14:paraId="00000045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Plazo de resolución</w:t>
      </w:r>
    </w:p>
    <w:p w:rsidR="00000000" w:rsidDel="00000000" w:rsidP="00000000" w:rsidRDefault="00000000" w:rsidRPr="00000000" w14:paraId="00000047">
      <w:pPr>
        <w:widowControl w:val="0"/>
        <w:spacing w:before="0" w:line="360" w:lineRule="auto"/>
        <w:ind w:left="720" w:right="0" w:firstLine="72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1 mes.</w:t>
      </w:r>
    </w:p>
    <w:p w:rsidR="00000000" w:rsidDel="00000000" w:rsidP="00000000" w:rsidRDefault="00000000" w:rsidRPr="00000000" w14:paraId="00000048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Cuando el volumen o la complejidad de la información solicitada lo justifiquen, el plazo se podrá ampliar por otro mes, informando de esta circunstancia al solicitante. (Art. 46.1 Ley 12/2014, de 26 de diciembre , de transparencia y de acceso a la información pública).</w:t>
      </w:r>
    </w:p>
    <w:p w:rsidR="00000000" w:rsidDel="00000000" w:rsidP="00000000" w:rsidRDefault="00000000" w:rsidRPr="00000000" w14:paraId="00000049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Efectos del silencio administrativo</w:t>
      </w:r>
    </w:p>
    <w:p w:rsidR="00000000" w:rsidDel="00000000" w:rsidP="00000000" w:rsidRDefault="00000000" w:rsidRPr="00000000" w14:paraId="0000004B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Desestimatorio. Transcurrido el plazo del mes, o de los dos meses en caso de ampliación comunicada, la solicitud se entenderá desestimada. (Artículo 46.3 de la Ley 12/2014, de 26 de diciembre, de transparencia y de acceso a la información pública.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Órganos de resolución</w:t>
      </w:r>
    </w:p>
    <w:p w:rsidR="00000000" w:rsidDel="00000000" w:rsidP="00000000" w:rsidRDefault="00000000" w:rsidRPr="00000000" w14:paraId="0000004D">
      <w:pPr>
        <w:widowControl w:val="0"/>
        <w:spacing w:before="0" w:line="360" w:lineRule="auto"/>
        <w:ind w:left="720" w:right="0" w:firstLine="72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Centros de Arte, cultura y turismo del Cabildo de Lanzarote.</w:t>
      </w:r>
    </w:p>
    <w:p w:rsidR="00000000" w:rsidDel="00000000" w:rsidP="00000000" w:rsidRDefault="00000000" w:rsidRPr="00000000" w14:paraId="0000004E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4"/>
        </w:numPr>
        <w:spacing w:before="0" w:line="360" w:lineRule="auto"/>
        <w:ind w:left="720" w:right="0" w:hanging="36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u w:val="single"/>
          <w:rtl w:val="0"/>
        </w:rPr>
        <w:t xml:space="preserve">Recursos</w:t>
      </w:r>
    </w:p>
    <w:p w:rsidR="00000000" w:rsidDel="00000000" w:rsidP="00000000" w:rsidRDefault="00000000" w:rsidRPr="00000000" w14:paraId="00000050">
      <w:pPr>
        <w:widowControl w:val="0"/>
        <w:spacing w:before="0" w:line="360" w:lineRule="auto"/>
        <w:ind w:left="144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La resolución pone fin a la vía administrativa, se podrá interponer recurso contencioso administrativo en el plazo de dos meses  contados a partir del día siguiente a aquel en que se notifique la resolución  ante el Juzgado de lo Contencioso que le corresponda, en el plazo de dos meses contados a partir del día siguiente al de su notificación.</w:t>
      </w:r>
    </w:p>
    <w:p w:rsidR="00000000" w:rsidDel="00000000" w:rsidP="00000000" w:rsidRDefault="00000000" w:rsidRPr="00000000" w14:paraId="00000051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0" w:line="360" w:lineRule="auto"/>
        <w:ind w:left="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0" w:line="360" w:lineRule="auto"/>
        <w:ind w:left="720" w:right="0" w:firstLine="0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1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F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60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61">
    <w:pPr>
      <w:keepNext w:val="1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194742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1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58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777777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275.5905511811022" w:hanging="425.196850393700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