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4"/>
          <w:szCs w:val="24"/>
          <w:rtl w:val="0"/>
        </w:rPr>
        <w:t xml:space="preserve">OBJETIVOS ESTRATÉGICOS PERSEGUIDOS; ACTIVIDADES PREVISTAS PARA LA CONSECUCIÓN DE LOS OBJETIVOS; MEDIOS NECESARIOS PARA ALCANZAR LOS OBJETIVOS; ESTIMACIÓN TEMPORAL PARA SU CONSECUCIÓN E IDENTIFICACIÓN DE LOS ÓRGANOS RESPONSABLES DE SU EJECUCIÓN</w:t>
      </w:r>
    </w:p>
    <w:p w:rsidR="00000000" w:rsidDel="00000000" w:rsidP="00000000" w:rsidRDefault="00000000" w:rsidRPr="00000000" w14:paraId="00000004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center"/>
        <w:rPr>
          <w:rFonts w:ascii="Montserrat" w:cs="Montserrat" w:eastAsia="Montserrat" w:hAnsi="Montserrat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0"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A continuación se presentan distintos cuadros donde se muestran los objetivos estratégicos perseguidos; actividades previstas para la consecución de los objetivos; medios necesarios para alcanzar los objetivos; estimación temporal para su consecución e identificación de los órganos responsables de su ejecución de la Entidad Pública Empresarial Local “Centros de Arte, Cultura y Turismo de Lanzarote” para el año 2021.</w:t>
      </w:r>
    </w:p>
    <w:p w:rsidR="00000000" w:rsidDel="00000000" w:rsidP="00000000" w:rsidRDefault="00000000" w:rsidRPr="00000000" w14:paraId="00000007">
      <w:pPr>
        <w:spacing w:after="200" w:before="0" w:line="36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Dichos cuadros fueron aprobados por el Consejero Delegado de la Entidad a fecha marzo 2020.  </w:t>
      </w:r>
    </w:p>
    <w:p w:rsidR="00000000" w:rsidDel="00000000" w:rsidP="00000000" w:rsidRDefault="00000000" w:rsidRPr="00000000" w14:paraId="00000008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60" w:line="360" w:lineRule="auto"/>
        <w:jc w:val="lef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60" w:line="360" w:lineRule="auto"/>
        <w:jc w:val="right"/>
        <w:rPr>
          <w:rFonts w:ascii="Montserrat" w:cs="Montserrat" w:eastAsia="Montserrat" w:hAnsi="Montserrat"/>
          <w:color w:val="00000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18" w:top="525" w:left="1133.8582677165355" w:right="1132.2047244094488" w:header="136.06299212598427" w:footer="0"/>
          <w:pgNumType w:start="1"/>
          <w:titlePg w:val="1"/>
        </w:sect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Objetivos estratégicos relacionados con el sistema de Gestión de la Calidad.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5.0" w:type="dxa"/>
        <w:jc w:val="left"/>
        <w:tblInd w:w="90.0" w:type="dxa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ind w:left="141.73228346456688" w:right="105.23622047244089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1 AÑO 2021.- Minimizar los errores (diferencias de inventario entre el stock teórico y stock real) en el proceso de gestión de stocks en un 50%.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60.0" w:type="dxa"/>
        <w:jc w:val="center"/>
        <w:tblLayout w:type="fixed"/>
        <w:tblLook w:val="0000"/>
      </w:tblPr>
      <w:tblGrid>
        <w:gridCol w:w="2490"/>
        <w:gridCol w:w="5100"/>
        <w:gridCol w:w="1575"/>
        <w:gridCol w:w="1785"/>
        <w:gridCol w:w="1680"/>
        <w:gridCol w:w="1530"/>
        <w:tblGridChange w:id="0">
          <w:tblGrid>
            <w:gridCol w:w="2490"/>
            <w:gridCol w:w="5100"/>
            <w:gridCol w:w="1575"/>
            <w:gridCol w:w="1785"/>
            <w:gridCol w:w="1680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60" w:before="0" w:line="360" w:lineRule="auto"/>
              <w:ind w:left="283.46456692913375" w:right="125.55118110236265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Implantar una nueva ERP donde venga integrado el proceso de compras y de venta de la entidad a tiempo real.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60" w:before="0" w:line="360" w:lineRule="auto"/>
              <w:ind w:left="283.46456692913375" w:right="125.55118110236265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Implantar un proceso de conteo que minimice los errores que se puedan dar a la hora de realizar los inventarios.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Sustituir las dos ERP que no estaban bien integradas en los centros, ICS y Navision, y unificarlas en una única que integre todos los procesos. 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Negociar con la nueva ERP.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Contratar la misma tras la licitación oportuna.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Planificar la implantación por procesos.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Trabajar en la digitalización de procesos de conteo a través del etiquetado de todos los productos de los centros con código de barras.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Realizar el inventario con pda o con pistolas de escaneo.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tabs>
                <w:tab w:val="left" w:pos="1440"/>
              </w:tabs>
              <w:spacing w:after="60" w:before="0" w:line="360" w:lineRule="auto"/>
              <w:ind w:left="283.4645669291342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Finalizar el proceso con un buen informe de valoración de inventario donde se valore las diferencias.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60" w:before="0" w:line="36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Directora Control y Auditoría/ Consejero Delegado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60" w:before="0" w:line="36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1º fase. Realizar el trabajo de etiquetar todos los productos de compra de los Centros Turísticos. 30/04/2021</w:t>
            </w:r>
          </w:p>
          <w:p w:rsidR="00000000" w:rsidDel="00000000" w:rsidP="00000000" w:rsidRDefault="00000000" w:rsidRPr="00000000" w14:paraId="00000028">
            <w:pPr>
              <w:spacing w:after="60" w:before="0" w:line="36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2º Fase, implantar la nueva herramienta en todos los Centros. 31/08/2021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0" w:line="36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Diferencias valoradas entre stock real y stock teórico.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60" w:before="0" w:line="36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footerReference r:id="rId10" w:type="default"/>
          <w:footerReference r:id="rId11" w:type="first"/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41.73228346456688" w:right="105.23622047244089" w:firstLine="0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2 AÑO 2021.- Mejorar los niveles de percepción de calidad de nuestros visitantes en los productos de tienda en un 10%. 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spacing w:after="60" w:before="60" w:line="240" w:lineRule="auto"/>
              <w:ind w:left="141.73228346456688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Incrementar la presencia de productos de mayor calidad en las tiendas de los CACT, mejorando la imagen y la experiencia global del cliente en los Centros. </w:t>
            </w:r>
          </w:p>
          <w:p w:rsidR="00000000" w:rsidDel="00000000" w:rsidP="00000000" w:rsidRDefault="00000000" w:rsidRPr="00000000" w14:paraId="00000036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Dotar a las tiendas de producto artesanal hecho en la isla o en Canarias.</w:t>
            </w:r>
          </w:p>
          <w:p w:rsidR="00000000" w:rsidDel="00000000" w:rsidP="00000000" w:rsidRDefault="00000000" w:rsidRPr="00000000" w14:paraId="0000003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Llamamiento y comunicado por la Presidencia del Cabildo para que todos los artesanos presenten sus propuestas en los Centros.</w:t>
            </w:r>
          </w:p>
          <w:p w:rsidR="00000000" w:rsidDel="00000000" w:rsidP="00000000" w:rsidRDefault="00000000" w:rsidRPr="00000000" w14:paraId="0000003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Utilizar la tienda del Mirador, como tienda piloto para realizar los cambios y extrapolar los mismos al resto de tiendas.</w:t>
            </w:r>
          </w:p>
          <w:p w:rsidR="00000000" w:rsidDel="00000000" w:rsidP="00000000" w:rsidRDefault="00000000" w:rsidRPr="00000000" w14:paraId="0000003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Ver y analizar resultados a nivel costes y facturación, y niveles de satisfacción.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Directora CX/ Consejero Delegado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/ Encargado de centro / Dependientes de Tienda/  Directores de centro.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1ª fase aplicar cambios tienda del Mirador. 31/12/2020 </w:t>
            </w:r>
          </w:p>
          <w:p w:rsidR="00000000" w:rsidDel="00000000" w:rsidP="00000000" w:rsidRDefault="00000000" w:rsidRPr="00000000" w14:paraId="0000003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2º fase extrapolar cambios al resto de tiendas 31/12/2021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Encuestas de satisfacción de clientes, apartados factores de calidad en tiendas.</w:t>
            </w:r>
          </w:p>
          <w:p w:rsidR="00000000" w:rsidDel="00000000" w:rsidP="00000000" w:rsidRDefault="00000000" w:rsidRPr="00000000" w14:paraId="0000003F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Número de proveedores artesanos que venden a las tiendas de los CACT, antes y después de la fecha fijada para cumplir objetivos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3 AÑO 2021.- Mejorar los niveles de percepción de calidad de nuestros visitantes en los productos de restauración en un 10%. 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spacing w:after="60" w:before="60" w:line="240" w:lineRule="auto"/>
              <w:ind w:left="72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41.73228346456688" w:right="0" w:hanging="141.73228346456688"/>
              <w:jc w:val="left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Incrementar la presencia de productos locales en los restaurantes de los CACT, mejorando la imagen y experiencia global del cliente en los Centros. </w:t>
            </w:r>
          </w:p>
          <w:p w:rsidR="00000000" w:rsidDel="00000000" w:rsidP="00000000" w:rsidRDefault="00000000" w:rsidRPr="00000000" w14:paraId="0000004D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Dotar a los restaurantes de mayor cantidad de  producto local hecho en la isla o en Canarias.</w:t>
            </w:r>
          </w:p>
          <w:p w:rsidR="00000000" w:rsidDel="00000000" w:rsidP="00000000" w:rsidRDefault="00000000" w:rsidRPr="00000000" w14:paraId="0000005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Contactar con el Cabildo para obtener las listas de productores locales en la isla (agricultores, ganaderos, viticultores, queseros, etc).</w:t>
            </w:r>
          </w:p>
          <w:p w:rsidR="00000000" w:rsidDel="00000000" w:rsidP="00000000" w:rsidRDefault="00000000" w:rsidRPr="00000000" w14:paraId="00000051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Cambiar en primera instancia las cartas de bebidas de los Centros para dar espacios a productos realizados en la isla (vermut, ginebra, vinos etc)</w:t>
            </w:r>
          </w:p>
          <w:p w:rsidR="00000000" w:rsidDel="00000000" w:rsidP="00000000" w:rsidRDefault="00000000" w:rsidRPr="00000000" w14:paraId="0000005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Cambiar paulatinamente las cartas de los restaurantes con asesoramiento de cocineros expertos en la tradición.</w:t>
            </w:r>
          </w:p>
          <w:p w:rsidR="00000000" w:rsidDel="00000000" w:rsidP="00000000" w:rsidRDefault="00000000" w:rsidRPr="00000000" w14:paraId="00000053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5. Medir resultados. </w:t>
            </w:r>
          </w:p>
          <w:p w:rsidR="00000000" w:rsidDel="00000000" w:rsidP="00000000" w:rsidRDefault="00000000" w:rsidRPr="00000000" w14:paraId="0000005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Directora CX/ Consejero Delegado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/ Encargado de centro /Chef ejecutivo.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1º fase Cambio de cartas todas la bebidas, y cambio carta de Montañas y Monumento 31/12/2020</w:t>
            </w:r>
          </w:p>
          <w:p w:rsidR="00000000" w:rsidDel="00000000" w:rsidP="00000000" w:rsidRDefault="00000000" w:rsidRPr="00000000" w14:paraId="0000005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2º fase, cambio de carta de Jardín, Castillo, eventos y Jameos. 31/05/2021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Encuestas de satisfacción de clientes, apartados factores de calidad en restauración </w:t>
            </w:r>
          </w:p>
          <w:p w:rsidR="00000000" w:rsidDel="00000000" w:rsidP="00000000" w:rsidRDefault="00000000" w:rsidRPr="00000000" w14:paraId="0000005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% de producto local que venden en los restaurantes y tiendas de los CACT, antes y después de la fecha fijada para cumplir objetivos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 </w:t>
            </w:r>
          </w:p>
        </w:tc>
      </w:tr>
    </w:tbl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Medio Ambiente</w:t>
      </w:r>
      <w:r w:rsidDel="00000000" w:rsidR="00000000" w:rsidRPr="00000000">
        <w:rPr>
          <w:rtl w:val="0"/>
        </w:rPr>
      </w:r>
    </w:p>
    <w:tbl>
      <w:tblPr>
        <w:tblStyle w:val="Table7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-105" w:firstLine="0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1 AÑO 2019/2020/2021.- Eliminar en más de un 50% las emisiones de gases en el centros Montañas del Fuego y parque móvil CACT.</w:t>
            </w:r>
          </w:p>
        </w:tc>
      </w:tr>
    </w:tbl>
    <w:p w:rsidR="00000000" w:rsidDel="00000000" w:rsidP="00000000" w:rsidRDefault="00000000" w:rsidRPr="00000000" w14:paraId="00000062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Llevar energía eléctrica al Islote de Hilario, en Montañas del Fuego.</w:t>
            </w:r>
          </w:p>
          <w:p w:rsidR="00000000" w:rsidDel="00000000" w:rsidP="00000000" w:rsidRDefault="00000000" w:rsidRPr="00000000" w14:paraId="0000006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Adquisición de 2 vehículos eléctricos para la ruta de los volcanes o híbridos.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Solicitar la inclusión en la redacción del nuevo PRUG de la posibilidad planteada, tal como aparece en el actual.</w:t>
            </w:r>
          </w:p>
          <w:p w:rsidR="00000000" w:rsidDel="00000000" w:rsidP="00000000" w:rsidRDefault="00000000" w:rsidRPr="00000000" w14:paraId="0000006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Contratar y elaborar el proyecto necesario de menos impacto medio ambiental para llevar la línea de electricidad al centro.</w:t>
            </w:r>
          </w:p>
          <w:p w:rsidR="00000000" w:rsidDel="00000000" w:rsidP="00000000" w:rsidRDefault="00000000" w:rsidRPr="00000000" w14:paraId="0000006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3. Solicitar permisos.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Ejecutar la obra</w:t>
            </w:r>
          </w:p>
          <w:p w:rsidR="00000000" w:rsidDel="00000000" w:rsidP="00000000" w:rsidRDefault="00000000" w:rsidRPr="00000000" w14:paraId="0000007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5. Iniciar el proceso de contratación adquisición vehículos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Conservación y Mantenimiento/ Dirección de CX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Fases;  año 2017, contratación del proyecto. 2.018  y 2019 consecución de permisos. Segunda fase, 2020/2021, ejecución de la obra.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Medición de las emisiones del grupo electrógeno anualmente.</w:t>
            </w:r>
          </w:p>
          <w:p w:rsidR="00000000" w:rsidDel="00000000" w:rsidP="00000000" w:rsidRDefault="00000000" w:rsidRPr="00000000" w14:paraId="00000074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Número de vehículos eléctricos de la Entidad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 Se está solicitando subvenciones para ejecución de obras y también se ha declarado la obra de interés general para poder continuarla. </w:t>
            </w:r>
          </w:p>
        </w:tc>
      </w:tr>
    </w:tbl>
    <w:p w:rsidR="00000000" w:rsidDel="00000000" w:rsidP="00000000" w:rsidRDefault="00000000" w:rsidRPr="00000000" w14:paraId="00000076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45.0" w:type="dxa"/>
        <w:jc w:val="center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78">
            <w:pPr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2 AÑO 2019/2020/2021.- Fomentar el cambio de una movilidad convencional a una movilidad sostenible.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Adquisición de varias unidades de vehículos eléctricos y de la infraestructura necesaria para la recarga rápida de los mismos ampliando sensiblemente los puntos de recarga en la isla.</w:t>
            </w:r>
          </w:p>
          <w:p w:rsidR="00000000" w:rsidDel="00000000" w:rsidP="00000000" w:rsidRDefault="00000000" w:rsidRPr="00000000" w14:paraId="00000081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Desarrollar el proyecto CITIES, prototipo de guagua eléctrica y autónoma en la ruta de los volcanes.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Compra de  guagua eléctrica y autónoma para la ruta de los volcanes. (PROYECTO CITIES, movilidad eléctrica y conducción autónoma) </w:t>
            </w:r>
          </w:p>
          <w:p w:rsidR="00000000" w:rsidDel="00000000" w:rsidP="00000000" w:rsidRDefault="00000000" w:rsidRPr="00000000" w14:paraId="00000084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Adquirir guaguas para servicios de apoyo en los CACT en ruta de los volcanes,. Estudiar las posibilidades actuales del mercado, y seleccionado si no fuese posible el modelo híbrido.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Conservación/ CEO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31/12/2021</w:t>
            </w:r>
          </w:p>
          <w:p w:rsidR="00000000" w:rsidDel="00000000" w:rsidP="00000000" w:rsidRDefault="00000000" w:rsidRPr="00000000" w14:paraId="0000008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Presupuesto: 3.054.695,02 euros (con cargo FDCAN)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Reducción anual de la emisión de gases invernadero. (se estima 180.000 euros de coste de combustible y 4.700 toneladas de CO2 en 10 años) </w:t>
            </w:r>
          </w:p>
          <w:p w:rsidR="00000000" w:rsidDel="00000000" w:rsidP="00000000" w:rsidRDefault="00000000" w:rsidRPr="00000000" w14:paraId="00000089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Número de infraestructuras creadas o mejoradas. (vehículos eléctricos de la Entidad)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Se espera la llegada de la guagua eléctrica y autónoma al centro Montañas del Fuego en mayo de 2.021.</w:t>
            </w:r>
          </w:p>
        </w:tc>
      </w:tr>
    </w:tbl>
    <w:p w:rsidR="00000000" w:rsidDel="00000000" w:rsidP="00000000" w:rsidRDefault="00000000" w:rsidRPr="00000000" w14:paraId="0000008B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  <w:u w:val="single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8E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3 AÑO 2021.- Reducir la cantidad de papel generado en los CACT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en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un 10%. (a través digitalización paneles)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tabs>
                <w:tab w:val="left" w:pos="699.0000000000002"/>
              </w:tabs>
              <w:spacing w:after="60" w:before="60" w:line="240" w:lineRule="auto"/>
              <w:ind w:left="720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Digitalización de paneles informativos en los CACT. </w:t>
            </w:r>
          </w:p>
          <w:p w:rsidR="00000000" w:rsidDel="00000000" w:rsidP="00000000" w:rsidRDefault="00000000" w:rsidRPr="00000000" w14:paraId="00000097">
            <w:pPr>
              <w:tabs>
                <w:tab w:val="left" w:pos="699.0000000000002"/>
              </w:tabs>
              <w:spacing w:after="60" w:before="60" w:line="240" w:lineRule="auto"/>
              <w:ind w:left="72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6"/>
              </w:numPr>
              <w:tabs>
                <w:tab w:val="left" w:pos="699.0000000000002"/>
              </w:tabs>
              <w:spacing w:after="60" w:before="60" w:line="240" w:lineRule="auto"/>
              <w:ind w:left="720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Posibilidad de que la entrada on line se valide directamente desde el móvil del cliente.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Contratar con una empresa especializada para adquirir los paneles necesarios y el software para publicar las comunicaciones a los trabajadores y clientes.</w:t>
            </w:r>
          </w:p>
          <w:p w:rsidR="00000000" w:rsidDel="00000000" w:rsidP="00000000" w:rsidRDefault="00000000" w:rsidRPr="00000000" w14:paraId="0000009A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Insertar los contenidos necesarios.</w:t>
            </w:r>
          </w:p>
          <w:p w:rsidR="00000000" w:rsidDel="00000000" w:rsidP="00000000" w:rsidRDefault="00000000" w:rsidRPr="00000000" w14:paraId="0000009B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Medir</w:t>
            </w:r>
          </w:p>
          <w:p w:rsidR="00000000" w:rsidDel="00000000" w:rsidP="00000000" w:rsidRDefault="00000000" w:rsidRPr="00000000" w14:paraId="0000009C">
            <w:pPr>
              <w:spacing w:after="12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Sobre las  entradas, ejecutar el proyecto de venta on line de entradas con los dispositivos necesarios para llevarlo a cabo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RRHH/ Dirección CX. </w:t>
            </w:r>
          </w:p>
          <w:p w:rsidR="00000000" w:rsidDel="00000000" w:rsidP="00000000" w:rsidRDefault="00000000" w:rsidRPr="00000000" w14:paraId="0000009E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transformación digital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 Diciembre de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Consumo de papel por centro (folios)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Se traslada al objetivo por tener otras prioridades motivado por el COvid 19.</w:t>
            </w:r>
          </w:p>
        </w:tc>
      </w:tr>
    </w:tbl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130.0" w:type="dxa"/>
        <w:jc w:val="center"/>
        <w:tblLayout w:type="fixed"/>
        <w:tblLook w:val="0000"/>
      </w:tblPr>
      <w:tblGrid>
        <w:gridCol w:w="14130"/>
        <w:tblGridChange w:id="0">
          <w:tblGrid>
            <w:gridCol w:w="1413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A5">
            <w:pPr>
              <w:spacing w:after="60" w:before="60" w:line="240" w:lineRule="auto"/>
              <w:ind w:right="-105"/>
              <w:jc w:val="both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4 AÑO 2021.- Mejorar los consumos eléctricos en los centros de Jameos del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Agua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y Castillo San Jośe en un 10%. </w:t>
            </w:r>
          </w:p>
        </w:tc>
      </w:tr>
    </w:tbl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7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9"/>
              </w:numPr>
              <w:spacing w:after="0" w:line="240" w:lineRule="auto"/>
              <w:ind w:left="425.19685039370086" w:hanging="283.464566929134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Proceder al cambio de iluminación halógena a led en las zonas de visita de los clientes (cambio de iluminación artística).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Encargar y realizar los proyectos de iluminación. Contratar la supervisión del artista que originariamente creó la iluminación con César Manrique.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Solicitar los permisos a la comisión de Patrimonio.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Licitar el suministro de lámparas autorizadas por la arquitecta encargada y la comisión de patrimonio.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Proceder a realizar las pruebas de iluminación para conseguir el efecto final igual al original.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5. Medir.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Director de conservación y mantenimiento.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31/12/2022 Parte de Jameos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Consumo eléctrico en los centros mencionados.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Realizado en un 100% en Castillo, Pendiente de realizar en Jameos. No existe consenso con Patrimonio.  </w:t>
            </w:r>
          </w:p>
        </w:tc>
      </w:tr>
    </w:tbl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145.0" w:type="dxa"/>
        <w:jc w:val="center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BD">
            <w:pPr>
              <w:spacing w:after="60" w:before="60" w:line="240" w:lineRule="auto"/>
              <w:ind w:right="-36.49606299212451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5 AÑO 2021.- Eliminar los residuos generados por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la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 depuración de aguas en Monumento y Cueva de los Verdes. (eliminar depuradoras).</w:t>
            </w:r>
          </w:p>
        </w:tc>
      </w:tr>
    </w:tbl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BF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C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Estudiar la mejor forma de abordar la eliminación de la depuración de aguas en los centros mencionados:</w:t>
            </w:r>
          </w:p>
          <w:p w:rsidR="00000000" w:rsidDel="00000000" w:rsidP="00000000" w:rsidRDefault="00000000" w:rsidRPr="00000000" w14:paraId="000000C6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Retirar las depuradoras y enganchar a la red general.</w:t>
            </w:r>
          </w:p>
          <w:p w:rsidR="00000000" w:rsidDel="00000000" w:rsidP="00000000" w:rsidRDefault="00000000" w:rsidRPr="00000000" w14:paraId="000000C8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Cambiar el sistema de depuración a un sistema de Biodisgestión Anaerobia con humedales artificiales.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Realizar el proyecto de enganche para las depuradoras a la red municipal con el trazado necesario. Pedir permisos a medio ambiente, Patrimonio y PIOT, ayuntamiento etc.</w:t>
            </w:r>
          </w:p>
          <w:p w:rsidR="00000000" w:rsidDel="00000000" w:rsidP="00000000" w:rsidRDefault="00000000" w:rsidRPr="00000000" w14:paraId="000000CB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Solicitar la visita de un ingeniero especialista para analizar si es factible realizar este tipo de proyecto en los centros mencionados. Realizar propuesta y estudiarla. Si fuera elegida, realizar proyecto, pedir permisos. </w:t>
            </w:r>
          </w:p>
          <w:p w:rsidR="00000000" w:rsidDel="00000000" w:rsidP="00000000" w:rsidRDefault="00000000" w:rsidRPr="00000000" w14:paraId="000000CC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Elegir la mejor opción. Ejecutar proyecto.</w:t>
            </w:r>
          </w:p>
          <w:p w:rsidR="00000000" w:rsidDel="00000000" w:rsidP="00000000" w:rsidRDefault="00000000" w:rsidRPr="00000000" w14:paraId="000000CD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Medir parámetros.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Dirección de Conservación y mantenimiento/ Dirección CX.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Parámetros depuradoras actuales y lodos generados.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Se pospone el objetivo pues se considera necesario priorizar otras intervenciones  motivado por la pandemia, en lo que se consiguen los permisos oportunos y la financiación. Pendiente realización. </w:t>
            </w:r>
          </w:p>
        </w:tc>
      </w:tr>
    </w:tbl>
    <w:p w:rsidR="00000000" w:rsidDel="00000000" w:rsidP="00000000" w:rsidRDefault="00000000" w:rsidRPr="00000000" w14:paraId="000000D2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160.0" w:type="dxa"/>
        <w:jc w:val="center"/>
        <w:tblLayout w:type="fixed"/>
        <w:tblLook w:val="0000"/>
      </w:tblPr>
      <w:tblGrid>
        <w:gridCol w:w="14160"/>
        <w:tblGridChange w:id="0">
          <w:tblGrid>
            <w:gridCol w:w="141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D4">
            <w:pPr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6 AÑO 2020/2021.- Reducir la invasión de especies invasoras (vinagrera) en paisajes de la isla.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6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A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D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Impulsar un proyecto con la universidad para estudiar posibles soluciones al control de la plaga de la vinagrera a través de acciones que no tengan repercusión medioambientales. </w:t>
            </w:r>
          </w:p>
          <w:p w:rsidR="00000000" w:rsidDel="00000000" w:rsidP="00000000" w:rsidRDefault="00000000" w:rsidRPr="00000000" w14:paraId="000000D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Firmar convenio de colaboración con la Fundación de la universidad de la Laguna que quiere desarrollar el proyecto. </w:t>
            </w:r>
          </w:p>
          <w:p w:rsidR="00000000" w:rsidDel="00000000" w:rsidP="00000000" w:rsidRDefault="00000000" w:rsidRPr="00000000" w14:paraId="000000E0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Financiar las acciones de investigación para obtener patógenos no químicos así como trabajos de campo. </w:t>
            </w:r>
          </w:p>
          <w:p w:rsidR="00000000" w:rsidDel="00000000" w:rsidP="00000000" w:rsidRDefault="00000000" w:rsidRPr="00000000" w14:paraId="000000E1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Contrastar resultados y aplicarlos si el estudio es exitoso. </w:t>
            </w:r>
          </w:p>
          <w:p w:rsidR="00000000" w:rsidDel="00000000" w:rsidP="00000000" w:rsidRDefault="00000000" w:rsidRPr="00000000" w14:paraId="000000E2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CEO/ Elena Mateo, responsable de Geoparque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31/12/2021</w:t>
            </w:r>
          </w:p>
          <w:p w:rsidR="00000000" w:rsidDel="00000000" w:rsidP="00000000" w:rsidRDefault="00000000" w:rsidRPr="00000000" w14:paraId="000000E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Número de especies invasoras eliminadas.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120" w:line="240" w:lineRule="auto"/>
              <w:ind w:right="-415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</w:t>
            </w:r>
          </w:p>
          <w:p w:rsidR="00000000" w:rsidDel="00000000" w:rsidP="00000000" w:rsidRDefault="00000000" w:rsidRPr="00000000" w14:paraId="000000E8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145.0" w:type="dxa"/>
        <w:jc w:val="center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EB">
            <w:pPr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b w:val="1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7 AÑO 2020/2021.- Reducir la energía eléctrica generada en los Centros Turísticos a través de combustibles fósiles en un 50%.</w:t>
            </w:r>
          </w:p>
        </w:tc>
      </w:tr>
    </w:tbl>
    <w:p w:rsidR="00000000" w:rsidDel="00000000" w:rsidP="00000000" w:rsidRDefault="00000000" w:rsidRPr="00000000" w14:paraId="000000EC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D">
            <w:pPr>
              <w:keepNext w:val="1"/>
              <w:numPr>
                <w:ilvl w:val="0"/>
                <w:numId w:val="11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E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EF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F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F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0F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2639.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12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 Instalación de placas solares en las cubiertas de los Centros Turísticos, excepto en la Cueva y Mirador del Río por sus características especiales. </w:t>
            </w:r>
          </w:p>
          <w:p w:rsidR="00000000" w:rsidDel="00000000" w:rsidP="00000000" w:rsidRDefault="00000000" w:rsidRPr="00000000" w14:paraId="000000F5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1. Realizar un estudio en colaboración con Patrimonio Histórico para determinar las ubicaciones más idóneas. </w:t>
            </w:r>
          </w:p>
          <w:p w:rsidR="00000000" w:rsidDel="00000000" w:rsidP="00000000" w:rsidRDefault="00000000" w:rsidRPr="00000000" w14:paraId="000000F7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2. Solicitar permiso en función del resultado de ese estudio.</w:t>
            </w:r>
          </w:p>
          <w:p w:rsidR="00000000" w:rsidDel="00000000" w:rsidP="00000000" w:rsidRDefault="00000000" w:rsidRPr="00000000" w14:paraId="000000F8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3. Obtener financiación para el suministro de las placas solares necesarias.</w:t>
            </w:r>
          </w:p>
          <w:p w:rsidR="00000000" w:rsidDel="00000000" w:rsidP="00000000" w:rsidRDefault="00000000" w:rsidRPr="00000000" w14:paraId="000000F9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4. Instalación de las placas solares, boletín y legalización de las mismas.</w:t>
            </w:r>
          </w:p>
          <w:p w:rsidR="00000000" w:rsidDel="00000000" w:rsidP="00000000" w:rsidRDefault="00000000" w:rsidRPr="00000000" w14:paraId="000000FA">
            <w:pPr>
              <w:tabs>
                <w:tab w:val="left" w:pos="1440"/>
              </w:tabs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5. Medición de los resultados.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Arquitecto/ Consejero delegado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31/12/2021</w:t>
            </w:r>
          </w:p>
          <w:p w:rsidR="00000000" w:rsidDel="00000000" w:rsidP="00000000" w:rsidRDefault="00000000" w:rsidRPr="00000000" w14:paraId="000000FD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% de energía eléctrica producida con origen renovable. Reducción de las emisiones CO” equivalencia.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120" w:line="240" w:lineRule="auto"/>
              <w:ind w:right="-415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realizar. </w:t>
            </w:r>
          </w:p>
          <w:p w:rsidR="00000000" w:rsidDel="00000000" w:rsidP="00000000" w:rsidRDefault="00000000" w:rsidRPr="00000000" w14:paraId="0000010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12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Posibles acciones ya solicitadas a modo de subvención pero no se sabe si se concretarán en 2021:</w:t>
      </w:r>
    </w:p>
    <w:p w:rsidR="00000000" w:rsidDel="00000000" w:rsidP="00000000" w:rsidRDefault="00000000" w:rsidRPr="00000000" w14:paraId="00000103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Dotación al Jardín de Cactus de energía renovable (eólica) a través del molino tradicional. </w:t>
      </w:r>
    </w:p>
    <w:p w:rsidR="00000000" w:rsidDel="00000000" w:rsidP="00000000" w:rsidRDefault="00000000" w:rsidRPr="00000000" w14:paraId="00000104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Dotación al Jardín de iluminación nocturna de última generación (LED). </w:t>
      </w:r>
    </w:p>
    <w:p w:rsidR="00000000" w:rsidDel="00000000" w:rsidP="00000000" w:rsidRDefault="00000000" w:rsidRPr="00000000" w14:paraId="00000105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Dotación a las oficinas centrales de sistemas más eficientes de energía. </w:t>
      </w:r>
    </w:p>
    <w:p w:rsidR="00000000" w:rsidDel="00000000" w:rsidP="00000000" w:rsidRDefault="00000000" w:rsidRPr="00000000" w14:paraId="00000106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Accesibilidad en los baños de la Cueva de los Verdes y en las salas expositivas del Monumento al Campesino. </w:t>
      </w:r>
    </w:p>
    <w:p w:rsidR="00000000" w:rsidDel="00000000" w:rsidP="00000000" w:rsidRDefault="00000000" w:rsidRPr="00000000" w14:paraId="00000107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Rehabilitación Salinas del Río.</w:t>
      </w:r>
    </w:p>
    <w:p w:rsidR="00000000" w:rsidDel="00000000" w:rsidP="00000000" w:rsidRDefault="00000000" w:rsidRPr="00000000" w14:paraId="00000108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Montserrat" w:cs="Montserrat" w:eastAsia="Montserrat" w:hAnsi="Montserrat"/>
          <w:color w:val="000000"/>
          <w:sz w:val="20"/>
          <w:szCs w:val="2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Renovación de flota de guaguas por otras más eficientes en combustibles (no serán eléctricas).</w:t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rtl w:val="0"/>
        </w:rPr>
        <w:t xml:space="preserve">Objetivos Estratégicos relacionados con Sistema de Gestión de la Seguridad y Salud Laboral </w:t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145.0" w:type="dxa"/>
        <w:jc w:val="center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1 AÑO 2021. Mejorar la identificación de los casos de Drogodependencias en el ámbito laboral de los CACT, identificando los grupos con mayor riesgo de abuso de drogas.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160.188976377955" w:type="dxa"/>
        <w:jc w:val="center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0F">
            <w:pPr>
              <w:keepNext w:val="1"/>
              <w:numPr>
                <w:ilvl w:val="0"/>
                <w:numId w:val="12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0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1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7"/>
              </w:numPr>
              <w:tabs>
                <w:tab w:val="left" w:pos="1440"/>
              </w:tabs>
              <w:spacing w:after="60" w:before="60" w:line="240" w:lineRule="auto"/>
              <w:ind w:left="141.73228346456688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Elaboración, desarrollo de un Plan de Prevención y Tratamiento de Drogodependencia en el ámbito Laboral</w:t>
            </w:r>
          </w:p>
          <w:p w:rsidR="00000000" w:rsidDel="00000000" w:rsidP="00000000" w:rsidRDefault="00000000" w:rsidRPr="00000000" w14:paraId="00000118">
            <w:pPr>
              <w:tabs>
                <w:tab w:val="left" w:pos="1440"/>
              </w:tabs>
              <w:spacing w:after="60" w:before="60" w:line="240" w:lineRule="auto"/>
              <w:ind w:left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tabs>
                <w:tab w:val="left" w:pos="144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tabs>
                <w:tab w:val="left" w:pos="1440"/>
              </w:tabs>
              <w:spacing w:after="60" w:before="60" w:line="240" w:lineRule="auto"/>
              <w:ind w:left="360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1"/>
              </w:numPr>
              <w:spacing w:after="0" w:afterAutospacing="0" w:line="240" w:lineRule="auto"/>
              <w:ind w:left="425.19685039370046" w:hanging="360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Formulando Objetivos  y articulando los medios necesarios para la consecución del fin.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spacing w:after="0" w:afterAutospacing="0" w:line="240" w:lineRule="auto"/>
              <w:ind w:left="425.19685039370046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Desarrollando actividades informativas, sensibilizadoras y de atención a las demandas en los cact.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spacing w:after="0" w:afterAutospacing="0" w:line="240" w:lineRule="auto"/>
              <w:ind w:left="425.19685039370046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Creación de un grupo o  equipo de trabajo, con una persona de referencia en cada centro.  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spacing w:after="0" w:afterAutospacing="0" w:line="240" w:lineRule="auto"/>
              <w:ind w:left="425.19685039370046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Formación específica de las personas claves en la empresa para abordar esta materia.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spacing w:after="120" w:line="240" w:lineRule="auto"/>
              <w:ind w:left="425.19685039370046" w:hanging="360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Colaboración con entidades de la isla  especializadas en el tratamiento y prevención de consumo de drogas.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Técnico de prevención de Riesgos laborales</w:t>
            </w:r>
          </w:p>
          <w:p w:rsidR="00000000" w:rsidDel="00000000" w:rsidP="00000000" w:rsidRDefault="00000000" w:rsidRPr="00000000" w14:paraId="0000012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31 Diciembre de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Nº Casos Identificados</w:t>
            </w:r>
          </w:p>
          <w:p w:rsidR="00000000" w:rsidDel="00000000" w:rsidP="00000000" w:rsidRDefault="00000000" w:rsidRPr="00000000" w14:paraId="0000012A">
            <w:pPr>
              <w:spacing w:after="60" w:before="60" w:line="24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Nº Casos Solucionados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12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Pendiente de realizar</w:t>
            </w:r>
          </w:p>
        </w:tc>
      </w:tr>
    </w:tbl>
    <w:p w:rsidR="00000000" w:rsidDel="00000000" w:rsidP="00000000" w:rsidRDefault="00000000" w:rsidRPr="00000000" w14:paraId="0000012C">
      <w:pPr>
        <w:spacing w:after="0" w:line="240" w:lineRule="auto"/>
        <w:jc w:val="both"/>
        <w:rPr>
          <w:rFonts w:ascii="Montserrat" w:cs="Montserrat" w:eastAsia="Montserrat" w:hAnsi="Montserrat"/>
          <w:b w:val="1"/>
          <w:color w:val="000000"/>
        </w:rPr>
        <w:sectPr>
          <w:type w:val="nextPage"/>
          <w:pgSz w:h="11906" w:w="16838" w:orient="landscape"/>
          <w:pgMar w:bottom="1701" w:top="1422" w:left="1418" w:right="1246.77165354331" w:header="136.06299212598427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145.0" w:type="dxa"/>
        <w:jc w:val="left"/>
        <w:tblInd w:w="-206.0" w:type="dxa"/>
        <w:tblLayout w:type="fixed"/>
        <w:tblLook w:val="0000"/>
      </w:tblPr>
      <w:tblGrid>
        <w:gridCol w:w="14145"/>
        <w:tblGridChange w:id="0">
          <w:tblGrid>
            <w:gridCol w:w="14145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60" w:before="60" w:line="240" w:lineRule="auto"/>
              <w:ind w:right="-105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rtl w:val="0"/>
              </w:rPr>
              <w:t xml:space="preserve">OBJETIVO 2 AÑO 2021. Reducir el número de casos de contagios por coronavirus en la plantilla de los CACT.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0" w:line="240" w:lineRule="auto"/>
        <w:jc w:val="both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160.188976377955" w:type="dxa"/>
        <w:jc w:val="left"/>
        <w:tblInd w:w="-220.0" w:type="dxa"/>
        <w:tblLayout w:type="fixed"/>
        <w:tblLook w:val="0000"/>
      </w:tblPr>
      <w:tblGrid>
        <w:gridCol w:w="2489.9527559055123"/>
        <w:gridCol w:w="5100.094488188977"/>
        <w:gridCol w:w="1574.929133858268"/>
        <w:gridCol w:w="1785.2598425196854"/>
        <w:gridCol w:w="1679.8110236220475"/>
        <w:gridCol w:w="1530.1417322834645"/>
        <w:tblGridChange w:id="0">
          <w:tblGrid>
            <w:gridCol w:w="2489.9527559055123"/>
            <w:gridCol w:w="5100.094488188977"/>
            <w:gridCol w:w="1574.929133858268"/>
            <w:gridCol w:w="1785.2598425196854"/>
            <w:gridCol w:w="1679.8110236220475"/>
            <w:gridCol w:w="1530.141732283464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0">
            <w:pPr>
              <w:keepNext w:val="1"/>
              <w:numPr>
                <w:ilvl w:val="0"/>
                <w:numId w:val="12"/>
              </w:numPr>
              <w:tabs>
                <w:tab w:val="left" w:pos="0"/>
              </w:tabs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ACCIONES A REALIZAR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MÉTODO DE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FECHA TOPE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INDICADOR DE CUMPLIMIENTO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vAlign w:val="center"/>
          </w:tcPr>
          <w:p w:rsidR="00000000" w:rsidDel="00000000" w:rsidP="00000000" w:rsidRDefault="00000000" w:rsidRPr="00000000" w14:paraId="0000013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RESULTADO VERIFICACIÓN</w:t>
            </w:r>
          </w:p>
        </w:tc>
      </w:tr>
      <w:tr>
        <w:trPr>
          <w:cantSplit w:val="0"/>
          <w:trHeight w:val="3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10"/>
              </w:numPr>
              <w:spacing w:after="60" w:before="60" w:line="240" w:lineRule="auto"/>
              <w:ind w:left="141.73228346456688" w:hanging="141.73228346456688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Establecer cribados entre la plantilla de trabajadores de los CACT mediante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la realización de pruebas rápidas de diagnóstico de Infección activa del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SARS-CoV-2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para la identificación de trabajadores/as asintomáticos, cortando las cadenas de transmisión del Virus.</w:t>
            </w:r>
          </w:p>
          <w:p w:rsidR="00000000" w:rsidDel="00000000" w:rsidP="00000000" w:rsidRDefault="00000000" w:rsidRPr="00000000" w14:paraId="00000137">
            <w:pPr>
              <w:spacing w:after="60" w:before="60" w:line="240" w:lineRule="auto"/>
              <w:ind w:left="141.73228346456688" w:hanging="141.73228346456688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60" w:before="60" w:line="240" w:lineRule="auto"/>
              <w:ind w:left="141.73228346456688" w:hanging="141.73228346456688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La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finalidad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de este objetivo es reforzar el control de la propagación del coronavirus entre la plantilla de trabajadores de los centros, mediante la detección de casos asintomáticos y la identificación de los contactos estrechos, de tal forma que el aislamiento del caso y la cuarentena de los contactos sean la clave para controlar la transmisión del virus en los diferentes centros de trabajo de la entidad.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Se plantea el objetivo a desarrollar con las siguientes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fases: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1. Fase de Identificación,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elección de la prueba de diagnóstico de Infección activa. 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2 Fase de acuerdo/Contratación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Llegar a un acuerdo de colaboración con una entidad especializada para el asesoramiento, la compra y posterior suministro de test de antígenos durante un período de 3 meses ampliable a otros 3 meses.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3. Fase de Información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:Difusión entre los trabajadores/as de los diferentes centros de trabajo de la información acerca de la finalidad de los test, objetivo,etc.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Difusión en las RRSS de la campaña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4.Fase Programación: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Establecimiento de un calendario para la realización de los test en cada centro de trabajo. Designación de un coordinador del proyecto, entre la empresa y epel para la operativa del plan de cribado.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5.Fase de análisis de los resultados y posterior intervención.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Se realizará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un seguimiento de aquellos casos probables y/o positivos, con activación de los protocolos vigentes.</w:t>
            </w:r>
          </w:p>
          <w:p w:rsidR="00000000" w:rsidDel="00000000" w:rsidP="00000000" w:rsidRDefault="00000000" w:rsidRPr="00000000" w14:paraId="00000140">
            <w:pPr>
              <w:spacing w:after="60" w:before="60" w:line="240" w:lineRule="auto"/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0"/>
                <w:szCs w:val="20"/>
                <w:rtl w:val="0"/>
              </w:rPr>
              <w:t xml:space="preserve">6. Fase de Reconocimiento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 como entorno seguro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highlight w:val="white"/>
                <w:rtl w:val="0"/>
              </w:rPr>
              <w:t xml:space="preserve">Técnico de Prevención de Riesgos Laborales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30 de Junio de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Porcentaje de trabajadores afectados por las pruebas </w:t>
            </w:r>
          </w:p>
          <w:p w:rsidR="00000000" w:rsidDel="00000000" w:rsidP="00000000" w:rsidRDefault="00000000" w:rsidRPr="00000000" w14:paraId="00000144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(Toda la plantilla)</w:t>
            </w:r>
          </w:p>
          <w:p w:rsidR="00000000" w:rsidDel="00000000" w:rsidP="00000000" w:rsidRDefault="00000000" w:rsidRPr="00000000" w14:paraId="00000146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Porcentaje de trabajadores contagiados por coronavirus.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60" w:before="6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El porcentaje se cumple si han realizado las pruebas al menos un 50 % de la plantilla de los que prestan su consentimiento para  la realización del test, lo cual permite conocer aproximadamente el estado de salud de los trabajadores/as .</w:t>
            </w:r>
          </w:p>
        </w:tc>
      </w:tr>
    </w:tbl>
    <w:p w:rsidR="00000000" w:rsidDel="00000000" w:rsidP="00000000" w:rsidRDefault="00000000" w:rsidRPr="00000000" w14:paraId="0000014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00" w:line="264" w:lineRule="auto"/>
        <w:jc w:val="both"/>
        <w:rPr>
          <w:rFonts w:ascii="Montserrat" w:cs="Montserrat" w:eastAsia="Montserrat" w:hAnsi="Montserrat"/>
          <w:b w:val="0"/>
          <w:i w:val="0"/>
          <w:color w:val="868789"/>
          <w:sz w:val="18"/>
          <w:szCs w:val="18"/>
          <w:highlight w:val="white"/>
        </w:rPr>
      </w:pPr>
      <w:bookmarkStart w:colFirst="0" w:colLast="0" w:name="_yxyf0jtj6buo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i w:val="0"/>
          <w:color w:val="868789"/>
          <w:sz w:val="18"/>
          <w:szCs w:val="18"/>
          <w:highlight w:val="white"/>
          <w:rtl w:val="0"/>
        </w:rPr>
        <w:t xml:space="preserve">Ventajas de los test rápidos para Covid-19</w:t>
      </w:r>
    </w:p>
    <w:p w:rsidR="00000000" w:rsidDel="00000000" w:rsidP="00000000" w:rsidRDefault="00000000" w:rsidRPr="00000000" w14:paraId="0000014B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La fiabilidad de esta prueba, su rapidez y el hecho de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ser muy asequible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nos proporciona un sinnúmero de ventajas. Gracias a ellas, la prueba PCR, más costosa y lenta en dar resultados, puede reservarse para circunstancias determinadas.</w:t>
      </w:r>
    </w:p>
    <w:p w:rsidR="00000000" w:rsidDel="00000000" w:rsidP="00000000" w:rsidRDefault="00000000" w:rsidRPr="00000000" w14:paraId="0000014C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Su utilidad básica es servirnos de apoyo a las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estrategias de salud pública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, para realizar análisis masivos o rastrear los posibles contactos de casos positivos ya confirmados. Esto permite un aislamiento inmediato de los casos positivos.</w:t>
      </w:r>
    </w:p>
    <w:p w:rsidR="00000000" w:rsidDel="00000000" w:rsidP="00000000" w:rsidRDefault="00000000" w:rsidRPr="00000000" w14:paraId="0000014D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Para estas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pruebas diagnósticas de coronavirus,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no necesitamos equipos especiales ni profesionales altamente cualificados, aunque sí debe estar presente personal sanitario al realizarla.</w:t>
      </w:r>
    </w:p>
    <w:p w:rsidR="00000000" w:rsidDel="00000000" w:rsidP="00000000" w:rsidRDefault="00000000" w:rsidRPr="00000000" w14:paraId="0000014E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La especificidad de los test rápidos frente a la PCR es la misma. Esto quiere decir que cuando un caso resulta positivo en cualquiera de los dos test,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no nos hace falta confirmar 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el diagnóstico.</w:t>
      </w:r>
    </w:p>
    <w:p w:rsidR="00000000" w:rsidDel="00000000" w:rsidP="00000000" w:rsidRDefault="00000000" w:rsidRPr="00000000" w14:paraId="0000014F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Los instrumentos necesarios para realizar la prueba de antígenos rápida se pueden trasladar con facilidad. De esta manera, podemos realizarla fuera de los centros de salud, en el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domicilio del paciente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. Esto contribuye notablemente a descongestionar los hospitales y a liberar recursos y personal.</w:t>
      </w:r>
    </w:p>
    <w:p w:rsidR="00000000" w:rsidDel="00000000" w:rsidP="00000000" w:rsidRDefault="00000000" w:rsidRPr="00000000" w14:paraId="00000150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Los resultados se obtienen en 15 minutos, por lo que determinamos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casi de inmediato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los casos positivos cuando hay síntomas como fiebre, tos o anosmia.</w:t>
      </w:r>
    </w:p>
    <w:p w:rsidR="00000000" w:rsidDel="00000000" w:rsidP="00000000" w:rsidRDefault="00000000" w:rsidRPr="00000000" w14:paraId="0000015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64" w:lineRule="auto"/>
        <w:ind w:right="988.1102362204729"/>
        <w:jc w:val="both"/>
        <w:rPr>
          <w:rFonts w:ascii="Montserrat" w:cs="Montserrat" w:eastAsia="Montserrat" w:hAnsi="Montserrat"/>
          <w:b w:val="0"/>
          <w:i w:val="0"/>
          <w:color w:val="868789"/>
          <w:sz w:val="18"/>
          <w:szCs w:val="18"/>
          <w:highlight w:val="white"/>
        </w:rPr>
      </w:pPr>
      <w:bookmarkStart w:colFirst="0" w:colLast="0" w:name="_8zk68nr1h77z" w:id="1"/>
      <w:bookmarkEnd w:id="1"/>
      <w:r w:rsidDel="00000000" w:rsidR="00000000" w:rsidRPr="00000000">
        <w:rPr>
          <w:rFonts w:ascii="Montserrat" w:cs="Montserrat" w:eastAsia="Montserrat" w:hAnsi="Montserrat"/>
          <w:b w:val="0"/>
          <w:i w:val="0"/>
          <w:color w:val="868789"/>
          <w:sz w:val="18"/>
          <w:szCs w:val="18"/>
          <w:highlight w:val="white"/>
          <w:rtl w:val="0"/>
        </w:rPr>
        <w:t xml:space="preserve">Inconvenientes</w:t>
      </w:r>
    </w:p>
    <w:p w:rsidR="00000000" w:rsidDel="00000000" w:rsidP="00000000" w:rsidRDefault="00000000" w:rsidRPr="00000000" w14:paraId="00000152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A pesar de ser muy fiables, en algunos casos, sigue siendo necesario realizar una prueba PCR, como explicaremos a continuación.</w:t>
      </w:r>
    </w:p>
    <w:p w:rsidR="00000000" w:rsidDel="00000000" w:rsidP="00000000" w:rsidRDefault="00000000" w:rsidRPr="00000000" w14:paraId="00000153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La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especificidad es muy elevada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y por esta razón no hay prácticamente posibilidad de un falso positivo. Sin embargo, los test rápidos para determinar antígenos sí pueden darnos resultados falsos negativos.</w:t>
      </w:r>
    </w:p>
    <w:p w:rsidR="00000000" w:rsidDel="00000000" w:rsidP="00000000" w:rsidRDefault="00000000" w:rsidRPr="00000000" w14:paraId="00000154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La razón es que su sensibilidad es inferior a la demostrada por la prueba PCR, por lo que no son capaces de detectar antígenos virales en las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etapas iniciales o finales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de la infección. El paciente debe haber tenido síntomas por unos 5 o 7 días para que el resultado sea positivo; de otra manera, será un falso negativo.</w:t>
      </w:r>
    </w:p>
    <w:p w:rsidR="00000000" w:rsidDel="00000000" w:rsidP="00000000" w:rsidRDefault="00000000" w:rsidRPr="00000000" w14:paraId="00000155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- Si la sospecha que tenemos de estar frente a un caso positivo para COVID-19 es muy alta, pues se fundamenta en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criterios clínicos y epidemiológicos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, está indicado realizar además una prueba PCR para confirmar el resultado falso negativo. Las muestras para ambos test deben tomarse en un lapso no mayor de 2 días.</w:t>
      </w:r>
    </w:p>
    <w:p w:rsidR="00000000" w:rsidDel="00000000" w:rsidP="00000000" w:rsidRDefault="00000000" w:rsidRPr="00000000" w14:paraId="00000156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ind w:right="988.1102362204729"/>
        <w:jc w:val="both"/>
        <w:rPr>
          <w:rFonts w:ascii="Montserrat" w:cs="Montserrat" w:eastAsia="Montserrat" w:hAnsi="Montserrat"/>
          <w:color w:val="868789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Los </w:t>
      </w:r>
      <w:r w:rsidDel="00000000" w:rsidR="00000000" w:rsidRPr="00000000">
        <w:rPr>
          <w:rFonts w:ascii="Montserrat" w:cs="Montserrat" w:eastAsia="Montserrat" w:hAnsi="Montserrat"/>
          <w:b w:val="1"/>
          <w:color w:val="868789"/>
          <w:sz w:val="18"/>
          <w:szCs w:val="18"/>
          <w:highlight w:val="white"/>
          <w:rtl w:val="0"/>
        </w:rPr>
        <w:t xml:space="preserve">test rápidos de antígenos</w:t>
      </w:r>
      <w:r w:rsidDel="00000000" w:rsidR="00000000" w:rsidRPr="00000000">
        <w:rPr>
          <w:rFonts w:ascii="Montserrat" w:cs="Montserrat" w:eastAsia="Montserrat" w:hAnsi="Montserrat"/>
          <w:color w:val="868789"/>
          <w:sz w:val="18"/>
          <w:szCs w:val="18"/>
          <w:highlight w:val="white"/>
          <w:rtl w:val="0"/>
        </w:rPr>
        <w:t xml:space="preserve"> son extremadamente útiles en las actuales circunstancias. Constituyen una herramienta accesible, rápida y fácil de usar, por lo que nos permite confirmar casos sospechosos de manera inmediata y segura.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422" w:left="1418" w:right="1246.77165354331" w:header="136.06299212598427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7015165</wp:posOffset>
          </wp:positionH>
          <wp:positionV relativeFrom="paragraph">
            <wp:posOffset>81710</wp:posOffset>
          </wp:positionV>
          <wp:extent cx="1872000" cy="483212"/>
          <wp:effectExtent b="0" l="0" r="0" t="0"/>
          <wp:wrapSquare wrapText="bothSides" distB="57600" distT="57600" distL="57600" distR="576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4286700</wp:posOffset>
          </wp:positionH>
          <wp:positionV relativeFrom="paragraph">
            <wp:posOffset>103069</wp:posOffset>
          </wp:positionV>
          <wp:extent cx="1872000" cy="483212"/>
          <wp:effectExtent b="0" l="0" r="0" t="0"/>
          <wp:wrapSquare wrapText="bothSides" distB="57600" distT="57600" distL="57600" distR="576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E">
    <w:pPr>
      <w:keepNext w:val="1"/>
      <w:widowControl w:val="0"/>
      <w:tabs>
        <w:tab w:val="center" w:pos="4252"/>
        <w:tab w:val="right" w:pos="9066"/>
      </w:tabs>
      <w:spacing w:after="0" w:line="240" w:lineRule="auto"/>
      <w:ind w:left="0" w:firstLine="0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5F">
    <w:pPr>
      <w:keepNext w:val="1"/>
      <w:widowControl w:val="0"/>
      <w:tabs>
        <w:tab w:val="center" w:pos="4252"/>
        <w:tab w:val="right" w:pos="8505"/>
      </w:tabs>
      <w:spacing w:after="0" w:line="240" w:lineRule="auto"/>
      <w:ind w:left="0" w:firstLine="0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60">
    <w:pPr>
      <w:keepNext w:val="1"/>
      <w:widowControl w:val="0"/>
      <w:tabs>
        <w:tab w:val="center" w:pos="4252"/>
        <w:tab w:val="right" w:pos="8504"/>
      </w:tabs>
      <w:spacing w:after="0" w:line="240" w:lineRule="auto"/>
      <w:ind w:left="0" w:firstLine="0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61">
    <w:pPr>
      <w:keepNext w:val="1"/>
      <w:widowControl w:val="0"/>
      <w:tabs>
        <w:tab w:val="center" w:pos="4252"/>
        <w:tab w:val="right" w:pos="8504"/>
      </w:tabs>
      <w:spacing w:after="0" w:line="240" w:lineRule="auto"/>
      <w:ind w:left="0" w:firstLine="0"/>
      <w:rPr>
        <w:rFonts w:ascii="Times New Roman" w:cs="Times New Roman" w:eastAsia="Times New Roman" w:hAnsi="Times New Roman"/>
        <w:color w:val="000000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7015165</wp:posOffset>
          </wp:positionH>
          <wp:positionV relativeFrom="paragraph">
            <wp:posOffset>81710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6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4286700</wp:posOffset>
          </wp:positionH>
          <wp:positionV relativeFrom="paragraph">
            <wp:posOffset>103069</wp:posOffset>
          </wp:positionV>
          <wp:extent cx="1872000" cy="483212"/>
          <wp:effectExtent b="0" l="0" r="0" t="0"/>
          <wp:wrapSquare wrapText="bothSides" distB="57600" distT="57600" distL="57600" distR="576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7">
    <w:pPr>
      <w:keepNext w:val="1"/>
      <w:widowControl w:val="0"/>
      <w:tabs>
        <w:tab w:val="center" w:pos="4252"/>
        <w:tab w:val="right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68">
    <w:pPr>
      <w:keepNext w:val="1"/>
      <w:widowControl w:val="0"/>
      <w:tabs>
        <w:tab w:val="center" w:pos="4252"/>
        <w:tab w:val="right" w:pos="8505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69">
    <w:pPr>
      <w:keepNext w:val="1"/>
      <w:widowControl w:val="0"/>
      <w:tabs>
        <w:tab w:val="center" w:pos="4252"/>
        <w:tab w:val="right" w:pos="8504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6A">
    <w:pPr>
      <w:keepNext w:val="1"/>
      <w:widowControl w:val="0"/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B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line="240" w:lineRule="auto"/>
      <w:jc w:val="center"/>
      <w:rPr>
        <w:color w:val="808080"/>
        <w:sz w:val="12"/>
        <w:szCs w:val="12"/>
      </w:rPr>
    </w:pP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7123895</wp:posOffset>
          </wp:positionH>
          <wp:positionV relativeFrom="paragraph">
            <wp:posOffset>162375</wp:posOffset>
          </wp:positionV>
          <wp:extent cx="1872000" cy="483212"/>
          <wp:effectExtent b="0" l="0" r="0" t="0"/>
          <wp:wrapSquare wrapText="bothSides" distB="57600" distT="57600" distL="57600" distR="576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E">
    <w:pPr>
      <w:keepNext w:val="1"/>
      <w:widowControl w:val="0"/>
      <w:tabs>
        <w:tab w:val="center" w:pos="4252"/>
        <w:tab w:val="right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F">
    <w:pPr>
      <w:keepNext w:val="1"/>
      <w:widowControl w:val="0"/>
      <w:tabs>
        <w:tab w:val="center" w:pos="4252"/>
        <w:tab w:val="right" w:pos="9066"/>
      </w:tabs>
      <w:spacing w:after="0" w:line="240" w:lineRule="auto"/>
      <w:rPr>
        <w:rFonts w:ascii="Montserrat" w:cs="Montserrat" w:eastAsia="Montserrat" w:hAnsi="Montserrat"/>
        <w:b w:val="1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0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70">
    <w:pPr>
      <w:keepNext w:val="1"/>
      <w:widowControl w:val="0"/>
      <w:tabs>
        <w:tab w:val="center" w:pos="4252"/>
        <w:tab w:val="right" w:pos="8505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71">
    <w:pPr>
      <w:keepNext w:val="1"/>
      <w:widowControl w:val="0"/>
      <w:tabs>
        <w:tab w:val="center" w:pos="4252"/>
        <w:tab w:val="right" w:pos="8504"/>
      </w:tabs>
      <w:spacing w:after="0" w:line="240" w:lineRule="auto"/>
      <w:rPr>
        <w:rFonts w:ascii="Montserrat" w:cs="Montserrat" w:eastAsia="Montserrat" w:hAnsi="Montserrat"/>
        <w:color w:val="000000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72">
    <w:pPr>
      <w:keepNext w:val="1"/>
      <w:widowControl w:val="0"/>
      <w:tabs>
        <w:tab w:val="center" w:pos="4252"/>
        <w:tab w:val="right" w:pos="8504"/>
      </w:tabs>
      <w:spacing w:after="0" w:line="240" w:lineRule="auto"/>
      <w:rPr/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color w:val="000000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1828800" cy="55229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left" w:pos="6080"/>
        <w:tab w:val="right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a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88900</wp:posOffset>
              </wp:positionV>
              <wp:extent cx="6722745" cy="22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89720" y="3777120"/>
                        <a:ext cx="6712560" cy="576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88900</wp:posOffset>
              </wp:positionV>
              <wp:extent cx="6722745" cy="222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27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4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