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INDICADORES QUE PERMITIRÁN SU SEGUIMIENTO Y EVALUACIÓN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 continuación se presentan distintos cuadros donde se muestran los indicadores que permitirán hacer el seguimiento y evaluación de los objetivos estratégicos perseguidos por la Entidad Pública Empresarial Local “Centros de Arte, Cultura y Turismo de Lanzarote” para el año 2021.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Dichos cuadros fueron aprobados por el Consejero Delegado de la Entidad a fecha marzo 2020.  </w:t>
      </w:r>
    </w:p>
    <w:p w:rsidR="00000000" w:rsidDel="00000000" w:rsidP="00000000" w:rsidRDefault="00000000" w:rsidRPr="00000000" w14:paraId="00000008">
      <w:pPr>
        <w:spacing w:after="200" w:before="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60" w:line="360" w:lineRule="auto"/>
        <w:jc w:val="lef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18" w:top="525" w:left="1133.8582677165355" w:right="1132.2047244094488" w:header="136.06299212598427" w:footer="0"/>
          <w:pgNumType w:start="1"/>
          <w:titlePg w:val="1"/>
        </w:sect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Objetivos estratégicos relacionados con el sistema de Gestión de la Calidad.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45.0" w:type="dxa"/>
        <w:jc w:val="left"/>
        <w:tblInd w:w="90.0" w:type="dxa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ind w:left="141.73228346456688" w:right="105.23622047244089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1 AÑO 2021.- Minimizar los errores (diferencias de inventario entre el stock teórico y stock real) en el proceso de gestión de stocks en un 50%.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60.0" w:type="dxa"/>
        <w:jc w:val="center"/>
        <w:tblLayout w:type="fixed"/>
        <w:tblLook w:val="0000"/>
      </w:tblPr>
      <w:tblGrid>
        <w:gridCol w:w="2490"/>
        <w:gridCol w:w="5100"/>
        <w:gridCol w:w="1575"/>
        <w:gridCol w:w="1785"/>
        <w:gridCol w:w="1680"/>
        <w:gridCol w:w="1530"/>
        <w:tblGridChange w:id="0">
          <w:tblGrid>
            <w:gridCol w:w="2490"/>
            <w:gridCol w:w="5100"/>
            <w:gridCol w:w="1575"/>
            <w:gridCol w:w="1785"/>
            <w:gridCol w:w="1680"/>
            <w:gridCol w:w="1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60" w:before="0" w:line="360" w:lineRule="auto"/>
              <w:ind w:left="283.46456692913375" w:right="125.55118110236265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Implantar una nueva ERP donde venga integrado el proceso de compras y de venta de la entidad a tiempo real.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60" w:before="0" w:line="360" w:lineRule="auto"/>
              <w:ind w:left="283.46456692913375" w:right="125.55118110236265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Implantar un proceso de conteo que minimice los errores que se puedan dar a la hora de realizar los inventarios.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Sustituir las dos ERP que no estaban bien integradas en los centros, ICS y Navision, y unificarlas en una única que integre todos los procesos. 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Negociar con la nueva ERP.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Contratar la misma tras la licitación oportuna.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Planificar la implantación por procesos.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Trabajar en la digitalización de procesos de conteo a través del etiquetado de todos los productos de los centros con código de barras.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Realizar el inventario con pda o con pistolas de escaneo.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tabs>
                <w:tab w:val="left" w:pos="1440"/>
              </w:tabs>
              <w:spacing w:after="6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Finalizar el proceso con un buen informe de valoración de inventario donde se valore las diferencias.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60" w:before="0" w:line="36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Directora Control y Auditoría/ Consejero Delegado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60" w:before="0" w:line="36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1º fase. Realizar el trabajo de etiquetar todos los productos de compra de los Centros Turísticos. 30/04/2021</w:t>
            </w:r>
          </w:p>
          <w:p w:rsidR="00000000" w:rsidDel="00000000" w:rsidP="00000000" w:rsidRDefault="00000000" w:rsidRPr="00000000" w14:paraId="0000002C">
            <w:pPr>
              <w:spacing w:after="60" w:before="0" w:line="36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2º Fase, implantar la nueva herramienta en todos los Centros. 31/08/2021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60" w:before="0" w:line="36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Diferencias valoradas entre stock real y stock teórico.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60" w:before="0" w:line="36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footerReference r:id="rId10" w:type="default"/>
          <w:footerReference r:id="rId11" w:type="first"/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41.73228346456688" w:right="105.23622047244089" w:firstLine="0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2 AÑO 2021.- Mejorar los niveles de percepción de calidad de nuestros visitantes en los productos de tienda en un 10%. 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after="60" w:before="60" w:line="240" w:lineRule="auto"/>
              <w:ind w:left="141.73228346456688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Incrementar la presencia de productos de mayor calidad en las tiendas de los CACT, mejorando la imagen y la experiencia global del cliente en los Centros. </w:t>
            </w:r>
          </w:p>
          <w:p w:rsidR="00000000" w:rsidDel="00000000" w:rsidP="00000000" w:rsidRDefault="00000000" w:rsidRPr="00000000" w14:paraId="0000003A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Dotar a las tiendas de producto artesanal hecho en la isla o en Canarias.</w:t>
            </w:r>
          </w:p>
          <w:p w:rsidR="00000000" w:rsidDel="00000000" w:rsidP="00000000" w:rsidRDefault="00000000" w:rsidRPr="00000000" w14:paraId="0000003C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Llamamiento y comunicado por la Presidencia del Cabildo para que todos los artesanos presenten sus propuestas en los Centros.</w:t>
            </w:r>
          </w:p>
          <w:p w:rsidR="00000000" w:rsidDel="00000000" w:rsidP="00000000" w:rsidRDefault="00000000" w:rsidRPr="00000000" w14:paraId="0000003D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Utilizar la tienda del Mirador, como tienda piloto para realizar los cambios y extrapolar los mismos al resto de tiendas.</w:t>
            </w:r>
          </w:p>
          <w:p w:rsidR="00000000" w:rsidDel="00000000" w:rsidP="00000000" w:rsidRDefault="00000000" w:rsidRPr="00000000" w14:paraId="0000003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Ver y analizar resultados a nivel costes y facturación, y niveles de satisfacción.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Directora CX/ Consejero Delegado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/ Encargado de centro / Dependientes de Tienda/  Directores de centro.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1ª fase aplicar cambios tienda del Mirador. 31/12/2020 </w:t>
            </w:r>
          </w:p>
          <w:p w:rsidR="00000000" w:rsidDel="00000000" w:rsidP="00000000" w:rsidRDefault="00000000" w:rsidRPr="00000000" w14:paraId="0000004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2º fase extrapolar cambios al resto de tiendas 31/12/2021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Encuestas de satisfacción de clientes, apartados factores de calidad en tiendas.</w:t>
            </w:r>
          </w:p>
          <w:p w:rsidR="00000000" w:rsidDel="00000000" w:rsidP="00000000" w:rsidRDefault="00000000" w:rsidRPr="00000000" w14:paraId="00000043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Número de proveedores artesanos que venden a las tiendas de los CACT, antes y después de la fecha fijada para cumplir objetivos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47">
            <w:pPr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3 AÑO 2021.- Mejorar los niveles de percepción de calidad de nuestros visitantes en los productos de restauración en un 10%. </w:t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spacing w:after="60" w:before="60" w:line="240" w:lineRule="auto"/>
              <w:ind w:left="720" w:firstLine="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41.73228346456688" w:right="0" w:hanging="141.73228346456688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Incrementar la presencia de productos locales en los restaurantes de los CACT, mejorando la imagen y experiencia global del cliente en los Centros. </w:t>
            </w:r>
          </w:p>
          <w:p w:rsidR="00000000" w:rsidDel="00000000" w:rsidP="00000000" w:rsidRDefault="00000000" w:rsidRPr="00000000" w14:paraId="00000051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Dotar a los restaurantes de mayor cantidad de  producto local hecho en la isla o en Canarias.</w:t>
            </w:r>
          </w:p>
          <w:p w:rsidR="00000000" w:rsidDel="00000000" w:rsidP="00000000" w:rsidRDefault="00000000" w:rsidRPr="00000000" w14:paraId="0000005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Contactar con el Cabildo para obtener las listas de productores locales en la isla (agricultores, ganaderos, viticultores, queseros, etc).</w:t>
            </w:r>
          </w:p>
          <w:p w:rsidR="00000000" w:rsidDel="00000000" w:rsidP="00000000" w:rsidRDefault="00000000" w:rsidRPr="00000000" w14:paraId="0000005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Cambiar en primera instancia las cartas de bebidas de los Centros para dar espacios a productos realizados en la isla (vermut, ginebra, vinos etc)</w:t>
            </w:r>
          </w:p>
          <w:p w:rsidR="00000000" w:rsidDel="00000000" w:rsidP="00000000" w:rsidRDefault="00000000" w:rsidRPr="00000000" w14:paraId="00000056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Cambiar paulatinamente las cartas de los restaurantes con asesoramiento de cocineros expertos en la tradición.</w:t>
            </w:r>
          </w:p>
          <w:p w:rsidR="00000000" w:rsidDel="00000000" w:rsidP="00000000" w:rsidRDefault="00000000" w:rsidRPr="00000000" w14:paraId="00000057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5. Medir resultados. </w:t>
            </w:r>
          </w:p>
          <w:p w:rsidR="00000000" w:rsidDel="00000000" w:rsidP="00000000" w:rsidRDefault="00000000" w:rsidRPr="00000000" w14:paraId="0000005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Directora CX/ Consejero Delegado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/ Encargado de centro /Chef ejecutivo.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1º fase Cambio de cartas todas la bebidas, y cambio carta de Montañas y Monumento 31/12/2020</w:t>
            </w:r>
          </w:p>
          <w:p w:rsidR="00000000" w:rsidDel="00000000" w:rsidP="00000000" w:rsidRDefault="00000000" w:rsidRPr="00000000" w14:paraId="0000005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2º fase, cambio de carta de Jardín, Castillo, eventos y Jameos. 31/05/2021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Encuestas de satisfacción de clientes, apartados factores de calidad en restauración </w:t>
            </w:r>
          </w:p>
          <w:p w:rsidR="00000000" w:rsidDel="00000000" w:rsidP="00000000" w:rsidRDefault="00000000" w:rsidRPr="00000000" w14:paraId="0000005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% de producto local que venden en los restaurantes y tiendas de los CACT, antes y después de la fecha fijada para cumplir objetivos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Medio Ambiente</w:t>
      </w:r>
      <w:r w:rsidDel="00000000" w:rsidR="00000000" w:rsidRPr="00000000">
        <w:rPr>
          <w:rtl w:val="0"/>
        </w:rPr>
      </w:r>
    </w:p>
    <w:tbl>
      <w:tblPr>
        <w:tblStyle w:val="Table7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105" w:firstLine="0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1 AÑO 2019/2020/2021.- Eliminar en más de un 50% las emisiones de gases en el centros Montañas del Fuego y parque móvil CACT.</w:t>
            </w:r>
          </w:p>
        </w:tc>
      </w:tr>
    </w:tbl>
    <w:p w:rsidR="00000000" w:rsidDel="00000000" w:rsidP="00000000" w:rsidRDefault="00000000" w:rsidRPr="00000000" w14:paraId="00000066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Llevar energía eléctrica al Islote de Hilario, en Montañas del Fuego.</w:t>
            </w:r>
          </w:p>
          <w:p w:rsidR="00000000" w:rsidDel="00000000" w:rsidP="00000000" w:rsidRDefault="00000000" w:rsidRPr="00000000" w14:paraId="0000006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Adquisición de 2 vehículos eléctricos para la ruta de los volcanes o híbridos.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Solicitar la inclusión en la redacción del nuevo PRUG de la posibilidad planteada, tal como aparece en el actual.</w:t>
            </w:r>
          </w:p>
          <w:p w:rsidR="00000000" w:rsidDel="00000000" w:rsidP="00000000" w:rsidRDefault="00000000" w:rsidRPr="00000000" w14:paraId="0000007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Contratar y elaborar el proyecto necesario de menos impacto medio ambiental para llevar la línea de electricidad al centro.</w:t>
            </w:r>
          </w:p>
          <w:p w:rsidR="00000000" w:rsidDel="00000000" w:rsidP="00000000" w:rsidRDefault="00000000" w:rsidRPr="00000000" w14:paraId="0000007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3. Solicitar permisos.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Ejecutar la obra</w:t>
            </w:r>
          </w:p>
          <w:p w:rsidR="00000000" w:rsidDel="00000000" w:rsidP="00000000" w:rsidRDefault="00000000" w:rsidRPr="00000000" w14:paraId="00000074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5. Iniciar el proceso de contratación adquisición vehículos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Conservación y Mantenimiento/ Dirección de CX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Fases;  año 2017, contratación del proyecto. 2.018  y 2019 consecución de permisos. Segunda fase, 2020/2021, ejecución de la obra.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Medición de las emisiones del grupo electrógeno anualmente.</w:t>
            </w:r>
          </w:p>
          <w:p w:rsidR="00000000" w:rsidDel="00000000" w:rsidP="00000000" w:rsidRDefault="00000000" w:rsidRPr="00000000" w14:paraId="0000007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Número de vehículos eléctricos de la 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 Se está solicitando subvenciones para ejecución de obras y también se ha declarado la obra de interés general para poder continuarla. </w:t>
            </w:r>
          </w:p>
        </w:tc>
      </w:tr>
    </w:tbl>
    <w:p w:rsidR="00000000" w:rsidDel="00000000" w:rsidP="00000000" w:rsidRDefault="00000000" w:rsidRPr="00000000" w14:paraId="0000007A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45.0" w:type="dxa"/>
        <w:jc w:val="center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7C">
            <w:pPr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2 AÑO 2019/2020/2021.- Fomentar el cambio de una movilidad convencional a una movilidad sostenible.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E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Adquisición de varias unidades de vehículos eléctricos y de la infraestructura necesaria para la recarga rápida de los mismos ampliando sensiblemente los puntos de recarga en la isla.</w:t>
            </w:r>
          </w:p>
          <w:p w:rsidR="00000000" w:rsidDel="00000000" w:rsidP="00000000" w:rsidRDefault="00000000" w:rsidRPr="00000000" w14:paraId="0000008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Desarrollar el proyecto CITIES, prototipo de guagua eléctrica y autónoma en la ruta de los volcanes.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Compra de  guagua eléctrica y autónoma para la ruta de los volcanes. (PROYECTO CITIES, movilidad eléctrica y conducción autónoma) </w:t>
            </w:r>
          </w:p>
          <w:p w:rsidR="00000000" w:rsidDel="00000000" w:rsidP="00000000" w:rsidRDefault="00000000" w:rsidRPr="00000000" w14:paraId="00000088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Adquirir guaguas para servicios de apoyo en los CACT en ruta de los volcanes,. Estudiar las posibilidades actuales del mercado, y seleccionado si no fuese posible el modelo híbrido.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Conservación/ CEO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31/12/2021</w:t>
            </w:r>
          </w:p>
          <w:p w:rsidR="00000000" w:rsidDel="00000000" w:rsidP="00000000" w:rsidRDefault="00000000" w:rsidRPr="00000000" w14:paraId="0000008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Presupuesto: 3.054.695,02 euros (con cargo FDCAN)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Reducción anual de la emisión de gases invernadero. (se estima 180.000 euros de coste de combustible y 4.700 toneladas de CO2 en 10 años) </w:t>
            </w:r>
          </w:p>
          <w:p w:rsidR="00000000" w:rsidDel="00000000" w:rsidP="00000000" w:rsidRDefault="00000000" w:rsidRPr="00000000" w14:paraId="0000008D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Número de infraestructuras creadas o mejoradas. (vehículos eléctricos de la Entidad)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Se espera la llegada de la guagua eléctrica y autónoma al centro Montañas del Fuego en mayo de 2.021.</w:t>
            </w:r>
          </w:p>
        </w:tc>
      </w:tr>
    </w:tbl>
    <w:p w:rsidR="00000000" w:rsidDel="00000000" w:rsidP="00000000" w:rsidRDefault="00000000" w:rsidRPr="00000000" w14:paraId="0000008F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  <w:u w:val="single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92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3 AÑO 2022.- Reducir la cantidad de papel generado en los CACT en un 10%. (a través digitalización paneles)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4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6"/>
              </w:numPr>
              <w:tabs>
                <w:tab w:val="left" w:pos="699.0000000000002"/>
              </w:tabs>
              <w:spacing w:after="60" w:before="60" w:line="240" w:lineRule="auto"/>
              <w:ind w:left="720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Digitalización de paneles informativos en los CACT. </w:t>
            </w:r>
          </w:p>
          <w:p w:rsidR="00000000" w:rsidDel="00000000" w:rsidP="00000000" w:rsidRDefault="00000000" w:rsidRPr="00000000" w14:paraId="0000009B">
            <w:pPr>
              <w:tabs>
                <w:tab w:val="left" w:pos="699.0000000000002"/>
              </w:tabs>
              <w:spacing w:after="60" w:before="60" w:line="240" w:lineRule="auto"/>
              <w:ind w:left="720" w:firstLine="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6"/>
              </w:numPr>
              <w:tabs>
                <w:tab w:val="left" w:pos="699.0000000000002"/>
              </w:tabs>
              <w:spacing w:after="60" w:before="60" w:line="240" w:lineRule="auto"/>
              <w:ind w:left="720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Posibilidad de que la entrada on line se valide directamente desde el móvil del cliente.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Contratar con una empresa especializada para adquirir los paneles necesarios y el software para publicar las comunicaciones a los trabajadores y clientes.</w:t>
            </w:r>
          </w:p>
          <w:p w:rsidR="00000000" w:rsidDel="00000000" w:rsidP="00000000" w:rsidRDefault="00000000" w:rsidRPr="00000000" w14:paraId="0000009E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Insertar los contenidos necesarios.</w:t>
            </w:r>
          </w:p>
          <w:p w:rsidR="00000000" w:rsidDel="00000000" w:rsidP="00000000" w:rsidRDefault="00000000" w:rsidRPr="00000000" w14:paraId="0000009F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Medir</w:t>
            </w:r>
          </w:p>
          <w:p w:rsidR="00000000" w:rsidDel="00000000" w:rsidP="00000000" w:rsidRDefault="00000000" w:rsidRPr="00000000" w14:paraId="000000A0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Sobre las  entradas, ejecutar el proyecto de venta on line de entradas con los dispositivos necesarios para llevarlo a cabo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RRHH/ Dirección CX. </w:t>
            </w:r>
          </w:p>
          <w:p w:rsidR="00000000" w:rsidDel="00000000" w:rsidP="00000000" w:rsidRDefault="00000000" w:rsidRPr="00000000" w14:paraId="000000A2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transformación digital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Consumo de papel por centro (folios)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Se traslada al objetivo por tener otras prioridades motivado por el COvid 19.</w:t>
            </w:r>
          </w:p>
        </w:tc>
      </w:tr>
    </w:tbl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130.0" w:type="dxa"/>
        <w:jc w:val="center"/>
        <w:tblLayout w:type="fixed"/>
        <w:tblLook w:val="0000"/>
      </w:tblPr>
      <w:tblGrid>
        <w:gridCol w:w="14130"/>
        <w:tblGridChange w:id="0">
          <w:tblGrid>
            <w:gridCol w:w="1413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A9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4 AÑO 2022.- Mejorar los consumos eléctricos en los centros de Jameos del Agua y Castillo San Jośe en un 10%. </w:t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B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B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9"/>
              </w:numPr>
              <w:spacing w:after="0" w:line="240" w:lineRule="auto"/>
              <w:ind w:left="425.19685039370086" w:hanging="283.464566929134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Proceder al cambio de iluminación halógena a led en las zonas de visita de los clientes (cambio de iluminación artística).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Encargar y realizar los proyectos de iluminación. Contratar la supervisión del artista que originariamente creó la iluminación con César Manrique.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Solicitar los permisos a la comisión de Patrimonio.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Licitar el suministro de lámparas autorizadas por la arquitecta encargada y la comisión de patrimonio.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Proceder a realizar las pruebas de iluminación para conseguir el efecto final igual al original.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5. Medir.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Director de conservación y mantenimiento.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31/12/2022 Parte de Jameos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Consumo eléctrico en los centros mencionados.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Realizado en un 100% en Castillo, Pendiente de realizar en Jameos. No existe consenso con Patrimonio.  </w:t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145.0" w:type="dxa"/>
        <w:jc w:val="center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C1">
            <w:pPr>
              <w:spacing w:after="60" w:before="60" w:line="240" w:lineRule="auto"/>
              <w:ind w:right="-36.49606299212451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5 AÑO 2022.- Eliminar los residuos generados por la depuración de aguas en Monumento y Cueva de los Verdes. (eliminar depuradoras).</w:t>
            </w:r>
          </w:p>
        </w:tc>
      </w:tr>
    </w:tbl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3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Estudiar la mejor forma de abordar la eliminación de la depuración de aguas en los centros mencionados:</w:t>
            </w:r>
          </w:p>
          <w:p w:rsidR="00000000" w:rsidDel="00000000" w:rsidP="00000000" w:rsidRDefault="00000000" w:rsidRPr="00000000" w14:paraId="000000CA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Retirar las depuradoras y enganchar a la red general.</w:t>
            </w:r>
          </w:p>
          <w:p w:rsidR="00000000" w:rsidDel="00000000" w:rsidP="00000000" w:rsidRDefault="00000000" w:rsidRPr="00000000" w14:paraId="000000CC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Cambiar el sistema de depuración a un sistema de Biodisgestión Anaerobia con humedales artificiales.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Realizar el proyecto de enganche para las depuradoras a la red municipal con el trazado necesario. Pedir permisos a medio ambiente, Patrimonio y PIOT, ayuntamiento etc.</w:t>
            </w:r>
          </w:p>
          <w:p w:rsidR="00000000" w:rsidDel="00000000" w:rsidP="00000000" w:rsidRDefault="00000000" w:rsidRPr="00000000" w14:paraId="000000CF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Solicitar la visita de un ingeniero especialista para analizar si es factible realizar este tipo de proyecto en los centros mencionados. Realizar propuesta y estudiarla. Si fuera elegida, realizar proyecto, pedir permisos. </w:t>
            </w:r>
          </w:p>
          <w:p w:rsidR="00000000" w:rsidDel="00000000" w:rsidP="00000000" w:rsidRDefault="00000000" w:rsidRPr="00000000" w14:paraId="000000D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Elegir la mejor opción. Ejecutar proyecto.</w:t>
            </w:r>
          </w:p>
          <w:p w:rsidR="00000000" w:rsidDel="00000000" w:rsidP="00000000" w:rsidRDefault="00000000" w:rsidRPr="00000000" w14:paraId="000000D1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Medir parámetros.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Conservación y mantenimiento/ Dirección CX.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Parámetros depuradoras actuales y lodos generados.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Se pospone el objetivo pues se considera necesario priorizar otras intervenciones  motivado por la pandemia, en lo que se consiguen los permisos oportunos y la financiación. Pendiente realización. </w:t>
            </w:r>
          </w:p>
        </w:tc>
      </w:tr>
    </w:tbl>
    <w:p w:rsidR="00000000" w:rsidDel="00000000" w:rsidP="00000000" w:rsidRDefault="00000000" w:rsidRPr="00000000" w14:paraId="000000D6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D8">
            <w:pPr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6 AÑO 2020/2021.- Reducir la invasión de especies invasoras (vinagrera) en paisajes de la isla.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A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Impulsar un proyecto con la universidad para estudiar posibles soluciones al control de la plaga de la vinagrera a través de acciones que no tengan repercusión medioambientales. </w:t>
            </w:r>
          </w:p>
          <w:p w:rsidR="00000000" w:rsidDel="00000000" w:rsidP="00000000" w:rsidRDefault="00000000" w:rsidRPr="00000000" w14:paraId="000000E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Firmar convenio de colaboración con la Fundación de la universidad de la Laguna que quiere desarrollar el proyecto. </w:t>
            </w:r>
          </w:p>
          <w:p w:rsidR="00000000" w:rsidDel="00000000" w:rsidP="00000000" w:rsidRDefault="00000000" w:rsidRPr="00000000" w14:paraId="000000E4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Financiar las acciones de investigación para obtener patógenos no químicos así como trabajos de campo. </w:t>
            </w:r>
          </w:p>
          <w:p w:rsidR="00000000" w:rsidDel="00000000" w:rsidP="00000000" w:rsidRDefault="00000000" w:rsidRPr="00000000" w14:paraId="000000E5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Contrastar resultados y aplicarlos si el estudio es exitoso. </w:t>
            </w:r>
          </w:p>
          <w:p w:rsidR="00000000" w:rsidDel="00000000" w:rsidP="00000000" w:rsidRDefault="00000000" w:rsidRPr="00000000" w14:paraId="000000E6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CEO/ Elena Mateo, responsable de Geoparque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31/12/2021</w:t>
            </w:r>
          </w:p>
          <w:p w:rsidR="00000000" w:rsidDel="00000000" w:rsidP="00000000" w:rsidRDefault="00000000" w:rsidRPr="00000000" w14:paraId="000000E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Número de especies invasoras eliminadas.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120" w:line="240" w:lineRule="auto"/>
              <w:ind w:right="-415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</w:t>
            </w:r>
          </w:p>
          <w:p w:rsidR="00000000" w:rsidDel="00000000" w:rsidP="00000000" w:rsidRDefault="00000000" w:rsidRPr="00000000" w14:paraId="000000EC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145.0" w:type="dxa"/>
        <w:jc w:val="center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F">
            <w:pPr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7 AÑO 2020/2021.- Reducir la energía eléctrica generada en los Centros Turísticos a través de combustibles fósiles en un 50%.</w:t>
            </w:r>
          </w:p>
        </w:tc>
      </w:tr>
    </w:tbl>
    <w:p w:rsidR="00000000" w:rsidDel="00000000" w:rsidP="00000000" w:rsidRDefault="00000000" w:rsidRPr="00000000" w14:paraId="000000F0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F1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F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F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F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F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F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639.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 Instalación de placas solares en las cubiertas de los Centros Turísticos, excepto en la Cueva y Mirador del Río por sus características especiales. </w:t>
            </w:r>
          </w:p>
          <w:p w:rsidR="00000000" w:rsidDel="00000000" w:rsidP="00000000" w:rsidRDefault="00000000" w:rsidRPr="00000000" w14:paraId="000000F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Realizar un estudio en colaboración con Patrimonio Histórico para determinar las ubicaciones más idóneas. </w:t>
            </w:r>
          </w:p>
          <w:p w:rsidR="00000000" w:rsidDel="00000000" w:rsidP="00000000" w:rsidRDefault="00000000" w:rsidRPr="00000000" w14:paraId="000000FB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Solicitar permiso en función del resultado de ese estudio.</w:t>
            </w:r>
          </w:p>
          <w:p w:rsidR="00000000" w:rsidDel="00000000" w:rsidP="00000000" w:rsidRDefault="00000000" w:rsidRPr="00000000" w14:paraId="000000FC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Obtener financiación para el suministro de las placas solares necesarias.</w:t>
            </w:r>
          </w:p>
          <w:p w:rsidR="00000000" w:rsidDel="00000000" w:rsidP="00000000" w:rsidRDefault="00000000" w:rsidRPr="00000000" w14:paraId="000000FD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Instalación de las placas solares, boletín y legalización de las mismas.</w:t>
            </w:r>
          </w:p>
          <w:p w:rsidR="00000000" w:rsidDel="00000000" w:rsidP="00000000" w:rsidRDefault="00000000" w:rsidRPr="00000000" w14:paraId="000000FE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5. Medición de los resultados.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Arquitecto/ Consejero delegado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31/12/2021</w:t>
            </w:r>
          </w:p>
          <w:p w:rsidR="00000000" w:rsidDel="00000000" w:rsidP="00000000" w:rsidRDefault="00000000" w:rsidRPr="00000000" w14:paraId="0000010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% de energía eléctrica producida con origen renovable. Reducción de las emisiones CO” equivalencia.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right="-415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</w:t>
            </w:r>
          </w:p>
          <w:p w:rsidR="00000000" w:rsidDel="00000000" w:rsidP="00000000" w:rsidRDefault="00000000" w:rsidRPr="00000000" w14:paraId="0000010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Posibles acciones ya solicitadas a modo de subvención pero no se sabe si se concretarán en 2021:</w:t>
      </w:r>
    </w:p>
    <w:p w:rsidR="00000000" w:rsidDel="00000000" w:rsidP="00000000" w:rsidRDefault="00000000" w:rsidRPr="00000000" w14:paraId="00000107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Dotación al Jardín de Cactus de energía renovable (eólica) a través del molino tradicional. </w:t>
      </w:r>
    </w:p>
    <w:p w:rsidR="00000000" w:rsidDel="00000000" w:rsidP="00000000" w:rsidRDefault="00000000" w:rsidRPr="00000000" w14:paraId="00000108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Dotación al Jardín de iluminación nocturna de última generación (LED). </w:t>
      </w:r>
    </w:p>
    <w:p w:rsidR="00000000" w:rsidDel="00000000" w:rsidP="00000000" w:rsidRDefault="00000000" w:rsidRPr="00000000" w14:paraId="00000109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Dotación a las oficinas centrales de sistemas más eficientes de energía. </w:t>
      </w:r>
    </w:p>
    <w:p w:rsidR="00000000" w:rsidDel="00000000" w:rsidP="00000000" w:rsidRDefault="00000000" w:rsidRPr="00000000" w14:paraId="0000010A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Accesibilidad en los baños de la Cueva de los Verdes y en las salas expositivas del Monumento al Campesino. </w:t>
      </w:r>
    </w:p>
    <w:p w:rsidR="00000000" w:rsidDel="00000000" w:rsidP="00000000" w:rsidRDefault="00000000" w:rsidRPr="00000000" w14:paraId="0000010B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Rehabilitación Salinas del Río.</w:t>
      </w:r>
    </w:p>
    <w:p w:rsidR="00000000" w:rsidDel="00000000" w:rsidP="00000000" w:rsidRDefault="00000000" w:rsidRPr="00000000" w14:paraId="0000010C">
      <w:pPr>
        <w:numPr>
          <w:ilvl w:val="0"/>
          <w:numId w:val="3"/>
        </w:numPr>
        <w:spacing w:after="12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Renovación de flota de guaguas por otras más eficientes en combustibles (no serán eléctricas).</w:t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Objetivos Estratégicos relacionados con Sistema de Gestión de la Seguridad y Salud Laboral </w:t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145.0" w:type="dxa"/>
        <w:jc w:val="center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1 AÑO 2021. Mejorar la identificación de los casos de Drogodependencias en el ámbito laboral de los CACT, identificando los grupos con mayor riesgo de abuso de drogas.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3">
            <w:pPr>
              <w:keepNext w:val="1"/>
              <w:numPr>
                <w:ilvl w:val="0"/>
                <w:numId w:val="12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7"/>
              </w:numPr>
              <w:tabs>
                <w:tab w:val="left" w:pos="1440"/>
              </w:tabs>
              <w:spacing w:after="60" w:before="60" w:line="240" w:lineRule="auto"/>
              <w:ind w:left="141.73228346456688" w:firstLine="0"/>
              <w:rPr>
                <w:rFonts w:ascii="Montserrat" w:cs="Montserrat" w:eastAsia="Montserrat" w:hAnsi="Montserrat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Elaboración, desarrollo de un Plan de Prevención y Tratamiento de Drogodependencia en el ámbito Laboral</w:t>
            </w:r>
          </w:p>
          <w:p w:rsidR="00000000" w:rsidDel="00000000" w:rsidP="00000000" w:rsidRDefault="00000000" w:rsidRPr="00000000" w14:paraId="0000011C">
            <w:pPr>
              <w:tabs>
                <w:tab w:val="left" w:pos="1440"/>
              </w:tabs>
              <w:spacing w:after="60" w:before="60" w:line="240" w:lineRule="auto"/>
              <w:ind w:left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pos="144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spacing w:after="0" w:afterAutospacing="0" w:line="240" w:lineRule="auto"/>
              <w:ind w:left="425.19685039370046" w:hanging="360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Formulando Objetivos  y articulando los medios necesarios para la consecución del fin.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"/>
              </w:numPr>
              <w:spacing w:after="0" w:afterAutospacing="0" w:line="240" w:lineRule="auto"/>
              <w:ind w:left="425.19685039370046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Desarrollando actividades informativas, sensibilizadoras y de atención a las demandas en los cact.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spacing w:after="0" w:afterAutospacing="0" w:line="240" w:lineRule="auto"/>
              <w:ind w:left="425.19685039370046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Creación de un grupo o  equipo de trabajo, con una persona de referencia en cada centro.  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"/>
              </w:numPr>
              <w:spacing w:after="0" w:afterAutospacing="0" w:line="240" w:lineRule="auto"/>
              <w:ind w:left="425.19685039370046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Formación específica de las personas claves en la empresa para abordar esta materia.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"/>
              </w:numPr>
              <w:spacing w:after="120" w:line="240" w:lineRule="auto"/>
              <w:ind w:left="425.19685039370046" w:hanging="360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Colaboración con entidades de la isla  especializadas en el tratamiento y prevención de consumo de drogas.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Técnico de prevención de Riesgos laborales</w:t>
            </w:r>
          </w:p>
          <w:p w:rsidR="00000000" w:rsidDel="00000000" w:rsidP="00000000" w:rsidRDefault="00000000" w:rsidRPr="00000000" w14:paraId="0000012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 Diciembre de 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Nº Casos Identificados</w:t>
            </w:r>
          </w:p>
          <w:p w:rsidR="00000000" w:rsidDel="00000000" w:rsidP="00000000" w:rsidRDefault="00000000" w:rsidRPr="00000000" w14:paraId="0000012E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Nº Casos Solucionados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30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145.0" w:type="dxa"/>
        <w:jc w:val="left"/>
        <w:tblInd w:w="-206.0" w:type="dxa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2 AÑO 2021. Reducir el número de casos de contagios por cororavirus en la plantilla de los CACT.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160.188976377955" w:type="dxa"/>
        <w:jc w:val="left"/>
        <w:tblInd w:w="-220.0" w:type="dxa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4">
            <w:pPr>
              <w:keepNext w:val="1"/>
              <w:numPr>
                <w:ilvl w:val="0"/>
                <w:numId w:val="12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numPr>
                <w:ilvl w:val="0"/>
                <w:numId w:val="10"/>
              </w:numPr>
              <w:spacing w:after="60" w:before="60" w:line="240" w:lineRule="auto"/>
              <w:ind w:left="141.73228346456688" w:hanging="141.73228346456688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highlight w:val="white"/>
                <w:rtl w:val="0"/>
              </w:rPr>
              <w:t xml:space="preserve">Establecer cribados entre la plantilla de trabajadores de los CACT mediante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la realización de pruebas rápidas de diagnóstico de Infección activa del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highlight w:val="white"/>
                <w:rtl w:val="0"/>
              </w:rPr>
              <w:t xml:space="preserve">SARS-CoV-2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para la identificación de trabajadores/as asintomáticos, cortando las cadenas de transmisión del Virus.</w:t>
            </w:r>
          </w:p>
          <w:p w:rsidR="00000000" w:rsidDel="00000000" w:rsidP="00000000" w:rsidRDefault="00000000" w:rsidRPr="00000000" w14:paraId="0000013B">
            <w:pPr>
              <w:spacing w:after="60" w:before="60" w:line="240" w:lineRule="auto"/>
              <w:ind w:left="141.73228346456688" w:hanging="141.73228346456688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60" w:before="60" w:line="240" w:lineRule="auto"/>
              <w:ind w:left="141.73228346456688" w:hanging="141.73228346456688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La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finalidad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de este objetivo es reforzar el control de la propagación del coronavirus entre la plantilla de trabajadores de los centros, mediante la detección de casos asintomáticos y la identificación de los contactos estrechos, de tal forma que el aislamiento del caso y la cuarentena de los contactos sean la clave para controlar la transmisión del virus en los diferentes centros de trabajo de la entidad.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Se plantea el objetivo a desarrollar con las siguientes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 fases: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1. Fase de Identificación,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elección de la prueba de diagnóstico de Infección activa. 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2 Fase de acuerdo/Contratación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Llegar a un acuerdo de colaboración con una entidad especializada para el asesoramiento, la compra y posterior suministro de test de antígenos durante un período de 3 meses ampliable a otros 3 meses.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3. Fase de Información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:Difusión entre los trabajadores/as de los diferentes centros de trabajo de la información acerca de la finalidad de los test, objetivo,etc.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Difusión en las RRSS de la campaña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4.Fase Programación: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Establecimiento de un calendario para la realización de los test en cada centro de trabajo. Designación de un coordinador del proyecto, entre la empresa y epel para la operativa del plan de cribado.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5.Fase de análisis de los resultados y posterior intervención.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Se realizará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un seguimiento de aquellos casos probables y/o positivos, con activación de los protocolos vigentes.</w:t>
            </w:r>
          </w:p>
          <w:p w:rsidR="00000000" w:rsidDel="00000000" w:rsidP="00000000" w:rsidRDefault="00000000" w:rsidRPr="00000000" w14:paraId="0000014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6. Fase de Reconocimiento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como entorno seguro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highlight w:val="white"/>
                <w:rtl w:val="0"/>
              </w:rPr>
              <w:t xml:space="preserve">Técnico de Prevención de Riesgos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30 de Junio de 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Porcentaje de trabajadores afectados por las pruebas </w:t>
            </w:r>
          </w:p>
          <w:p w:rsidR="00000000" w:rsidDel="00000000" w:rsidP="00000000" w:rsidRDefault="00000000" w:rsidRPr="00000000" w14:paraId="0000014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(Toda la plantilla)</w:t>
            </w:r>
          </w:p>
          <w:p w:rsidR="00000000" w:rsidDel="00000000" w:rsidP="00000000" w:rsidRDefault="00000000" w:rsidRPr="00000000" w14:paraId="0000014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Porcentaje de trabajadores contagiados por coronavirus.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El porcentaje se cumple si han realizado las pruebas al menos un 50 % de la plantilla de los que prestan su consentimiento para  la realización del test, lo cual permite conocer aproximadamente el estado de salud de los trabajadores/as .</w:t>
            </w:r>
          </w:p>
        </w:tc>
      </w:tr>
    </w:tbl>
    <w:p w:rsidR="00000000" w:rsidDel="00000000" w:rsidP="00000000" w:rsidRDefault="00000000" w:rsidRPr="00000000" w14:paraId="0000014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264" w:lineRule="auto"/>
        <w:jc w:val="both"/>
        <w:rPr>
          <w:rFonts w:ascii="Montserrat" w:cs="Montserrat" w:eastAsia="Montserrat" w:hAnsi="Montserrat"/>
          <w:b w:val="0"/>
          <w:i w:val="0"/>
          <w:color w:val="868789"/>
          <w:sz w:val="18"/>
          <w:szCs w:val="18"/>
          <w:highlight w:val="white"/>
        </w:rPr>
      </w:pPr>
      <w:bookmarkStart w:colFirst="0" w:colLast="0" w:name="_yxyf0jtj6buo" w:id="0"/>
      <w:bookmarkEnd w:id="0"/>
      <w:r w:rsidDel="00000000" w:rsidR="00000000" w:rsidRPr="00000000">
        <w:rPr>
          <w:rFonts w:ascii="Montserrat" w:cs="Montserrat" w:eastAsia="Montserrat" w:hAnsi="Montserrat"/>
          <w:b w:val="0"/>
          <w:i w:val="0"/>
          <w:color w:val="868789"/>
          <w:sz w:val="18"/>
          <w:szCs w:val="18"/>
          <w:highlight w:val="white"/>
          <w:rtl w:val="0"/>
        </w:rPr>
        <w:t xml:space="preserve">Ventajas de los test rápidos para Covid-19</w:t>
      </w:r>
    </w:p>
    <w:p w:rsidR="00000000" w:rsidDel="00000000" w:rsidP="00000000" w:rsidRDefault="00000000" w:rsidRPr="00000000" w14:paraId="0000014F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La fiabilidad de esta prueba, su rapidez y el hecho de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ser muy asequible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nos proporciona un sinnúmero de ventajas. Gracias a ellas, la prueba PCR, más costosa y lenta en dar resultados, puede reservarse para circunstancias determinadas.</w:t>
      </w:r>
    </w:p>
    <w:p w:rsidR="00000000" w:rsidDel="00000000" w:rsidP="00000000" w:rsidRDefault="00000000" w:rsidRPr="00000000" w14:paraId="00000150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Su utilidad básica es servirnos de apoyo a las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estrategias de salud pública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, para realizar análisis masivos o rastrear los posibles contactos de casos positivos ya confirmados. Esto permite un aislamiento inmediato de los casos positivos.</w:t>
      </w:r>
    </w:p>
    <w:p w:rsidR="00000000" w:rsidDel="00000000" w:rsidP="00000000" w:rsidRDefault="00000000" w:rsidRPr="00000000" w14:paraId="00000151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Para estas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pruebas diagnósticas de coronavirus,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no necesitamos equipos especiales ni profesionales altamente cualificados, aunque sí debe estar presente personal sanitario al realizarla.</w:t>
      </w:r>
    </w:p>
    <w:p w:rsidR="00000000" w:rsidDel="00000000" w:rsidP="00000000" w:rsidRDefault="00000000" w:rsidRPr="00000000" w14:paraId="00000152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La especificidad de los test rápidos frente a la PCR es la misma. Esto quiere decir que cuando un caso resulta positivo en cualquiera de los dos test,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no nos hace falta confirmar 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el diagnóstico.</w:t>
      </w:r>
    </w:p>
    <w:p w:rsidR="00000000" w:rsidDel="00000000" w:rsidP="00000000" w:rsidRDefault="00000000" w:rsidRPr="00000000" w14:paraId="00000153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Los instrumentos necesarios para realizar la prueba de antígenos rápida se pueden trasladar con facilidad. De esta manera, podemos realizarla fuera de los centros de salud, en el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domicilio del paciente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. Esto contribuye notablemente a descongestionar los hospitales y a liberar recursos y personal.</w:t>
      </w:r>
    </w:p>
    <w:p w:rsidR="00000000" w:rsidDel="00000000" w:rsidP="00000000" w:rsidRDefault="00000000" w:rsidRPr="00000000" w14:paraId="00000154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Los resultados se obtienen en 15 minutos, por lo que determinamos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casi de inmediato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los casos positivos cuando hay síntomas como fiebre, tos o anosmia.</w:t>
      </w:r>
    </w:p>
    <w:p w:rsidR="00000000" w:rsidDel="00000000" w:rsidP="00000000" w:rsidRDefault="00000000" w:rsidRPr="00000000" w14:paraId="0000015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64" w:lineRule="auto"/>
        <w:ind w:right="988.1102362204729"/>
        <w:jc w:val="both"/>
        <w:rPr>
          <w:rFonts w:ascii="Montserrat" w:cs="Montserrat" w:eastAsia="Montserrat" w:hAnsi="Montserrat"/>
          <w:b w:val="0"/>
          <w:i w:val="0"/>
          <w:color w:val="868789"/>
          <w:sz w:val="18"/>
          <w:szCs w:val="18"/>
          <w:highlight w:val="white"/>
        </w:rPr>
      </w:pPr>
      <w:bookmarkStart w:colFirst="0" w:colLast="0" w:name="_8zk68nr1h77z" w:id="1"/>
      <w:bookmarkEnd w:id="1"/>
      <w:r w:rsidDel="00000000" w:rsidR="00000000" w:rsidRPr="00000000">
        <w:rPr>
          <w:rFonts w:ascii="Montserrat" w:cs="Montserrat" w:eastAsia="Montserrat" w:hAnsi="Montserrat"/>
          <w:b w:val="0"/>
          <w:i w:val="0"/>
          <w:color w:val="868789"/>
          <w:sz w:val="18"/>
          <w:szCs w:val="18"/>
          <w:highlight w:val="white"/>
          <w:rtl w:val="0"/>
        </w:rPr>
        <w:t xml:space="preserve">Inconvenientes</w:t>
      </w:r>
    </w:p>
    <w:p w:rsidR="00000000" w:rsidDel="00000000" w:rsidP="00000000" w:rsidRDefault="00000000" w:rsidRPr="00000000" w14:paraId="00000156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A pesar de ser muy fiables, en algunos casos, sigue siendo necesario realizar una prueba PCR, como explicaremos a continuación.</w:t>
      </w:r>
    </w:p>
    <w:p w:rsidR="00000000" w:rsidDel="00000000" w:rsidP="00000000" w:rsidRDefault="00000000" w:rsidRPr="00000000" w14:paraId="00000157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La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especificidad es muy elevada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y por esta razón no hay prácticamente posibilidad de un falso positivo. Sin embargo, los test rápidos para determinar antígenos sí pueden darnos resultados falsos negativos.</w:t>
      </w:r>
    </w:p>
    <w:p w:rsidR="00000000" w:rsidDel="00000000" w:rsidP="00000000" w:rsidRDefault="00000000" w:rsidRPr="00000000" w14:paraId="00000158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La razón es que su sensibilidad es inferior a la demostrada por la prueba PCR, por lo que no son capaces de detectar antígenos virales en las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etapas iniciales o finales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de la infección. El paciente debe haber tenido síntomas por unos 5 o 7 días para que el resultado sea positivo; de otra manera, será un falso negativo.</w:t>
      </w:r>
    </w:p>
    <w:p w:rsidR="00000000" w:rsidDel="00000000" w:rsidP="00000000" w:rsidRDefault="00000000" w:rsidRPr="00000000" w14:paraId="00000159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Si la sospecha que tenemos de estar frente a un caso positivo para COVID-19 es muy alta, pues se fundamenta en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criterios clínicos y epidemiológicos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, está indicado realizar además una prueba PCR para confirmar el resultado falso negativo. Las muestras para ambos test deben tomarse en un lapso no mayor de 2 días.</w:t>
      </w:r>
    </w:p>
    <w:p w:rsidR="00000000" w:rsidDel="00000000" w:rsidP="00000000" w:rsidRDefault="00000000" w:rsidRPr="00000000" w14:paraId="0000015A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Los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test rápidos de antígenos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son extremadamente útiles en las actuales circunstancias. Constituyen una herramienta accesible, rápida y fácil de usar, por lo que nos permite confirmar casos sospechosos de manera inmediata y segura.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1422" w:left="1418" w:right="1246.77165354331" w:header="136.0629921259842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2">
    <w:pPr>
      <w:keepNext w:val="1"/>
      <w:widowControl w:val="0"/>
      <w:tabs>
        <w:tab w:val="center" w:pos="4252"/>
        <w:tab w:val="right" w:pos="9066"/>
      </w:tabs>
      <w:spacing w:after="0" w:line="240" w:lineRule="auto"/>
      <w:ind w:left="0" w:firstLine="0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63">
    <w:pPr>
      <w:keepNext w:val="1"/>
      <w:widowControl w:val="0"/>
      <w:tabs>
        <w:tab w:val="center" w:pos="4252"/>
        <w:tab w:val="right" w:pos="8505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64">
    <w:pPr>
      <w:keepNext w:val="1"/>
      <w:widowControl w:val="0"/>
      <w:tabs>
        <w:tab w:val="center" w:pos="4252"/>
        <w:tab w:val="right" w:pos="8504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65">
    <w:pPr>
      <w:keepNext w:val="1"/>
      <w:widowControl w:val="0"/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A">
    <w:pPr>
      <w:tabs>
        <w:tab w:val="center" w:pos="4252"/>
        <w:tab w:val="right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B">
    <w:pPr>
      <w:keepNext w:val="1"/>
      <w:widowControl w:val="0"/>
      <w:tabs>
        <w:tab w:val="center" w:pos="4252"/>
        <w:tab w:val="right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6C">
    <w:pPr>
      <w:keepNext w:val="1"/>
      <w:widowControl w:val="0"/>
      <w:tabs>
        <w:tab w:val="center" w:pos="4252"/>
        <w:tab w:val="right" w:pos="8505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6D">
    <w:pPr>
      <w:keepNext w:val="1"/>
      <w:widowControl w:val="0"/>
      <w:tabs>
        <w:tab w:val="center" w:pos="4252"/>
        <w:tab w:val="right" w:pos="8504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6E">
    <w:pPr>
      <w:keepNext w:val="1"/>
      <w:widowControl w:val="0"/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7123895</wp:posOffset>
          </wp:positionH>
          <wp:positionV relativeFrom="paragraph">
            <wp:posOffset>162375</wp:posOffset>
          </wp:positionV>
          <wp:extent cx="1872000" cy="483212"/>
          <wp:effectExtent b="0" l="0" r="0" t="0"/>
          <wp:wrapSquare wrapText="bothSides" distB="57600" distT="57600" distL="57600" distR="576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2">
    <w:pPr>
      <w:keepNext w:val="1"/>
      <w:widowControl w:val="0"/>
      <w:tabs>
        <w:tab w:val="center" w:pos="4252"/>
        <w:tab w:val="right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keepNext w:val="1"/>
      <w:widowControl w:val="0"/>
      <w:tabs>
        <w:tab w:val="center" w:pos="4252"/>
        <w:tab w:val="right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74">
    <w:pPr>
      <w:keepNext w:val="1"/>
      <w:widowControl w:val="0"/>
      <w:tabs>
        <w:tab w:val="center" w:pos="4252"/>
        <w:tab w:val="right" w:pos="8505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75">
    <w:pPr>
      <w:keepNext w:val="1"/>
      <w:widowControl w:val="0"/>
      <w:tabs>
        <w:tab w:val="center" w:pos="4252"/>
        <w:tab w:val="right" w:pos="8504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76">
    <w:pPr>
      <w:keepNext w:val="1"/>
      <w:widowControl w:val="0"/>
      <w:tabs>
        <w:tab w:val="center" w:pos="4252"/>
        <w:tab w:val="right" w:pos="8504"/>
      </w:tabs>
      <w:spacing w:after="0" w:line="240" w:lineRule="auto"/>
      <w:rPr/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</w:rPr>
      <w:drawing>
        <wp:inline distB="114300" distT="114300" distL="114300" distR="114300">
          <wp:extent cx="1828800" cy="55229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a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89720" y="3777120"/>
                        <a:ext cx="6712560" cy="576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27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4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