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OBRAS PÚBLICAS EN FASE DE EJECUCIÓN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DENOMINACIÓN Y DESCRIPCIÓN DE LA OBRA; IMPORTE DE SU EJECUCIÓN, DIFERENCIANDO EL PRESUPUESTO INICIAL DE CADA UNA DE LAS MODIFICACIONES O REVISIONES POSTERIORES; ADMINISTRACIONES, ORGANISMOS O ENTIDADES QUE LA FINANCIAN, INCLUYENDO EL IMPORTE QUE LES CORRESPONDE; PERSONA O ENTIDAD ADJUDICATARIA DE LA EJECUCIÓN MATERIAL; FECHA DE INICIO Y CONCLUSIÓN, PRÓRROGAS O AMPLIACIONES DEL PLAZO DE EJECUCIÓN; PENALIZACIONES IMPUESTAS POR INCUMPLIMIENTOS DEL/DE LA CONTRATISTA; ADMINISTRACIÓN TITULAR DE LA OBRA EJECUTADA Y, EN SU CASO, DEL MANTENIMIENTO POSTERIOR DE LA MISMA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rismo de Lanzarote” no ha tenido ninguna obra pública en fase de ejecución en el año 2021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