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spacing w:before="160" w:line="360" w:lineRule="auto"/>
        <w:ind w:left="0" w:right="0" w:firstLine="0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CONTRATOS FORMALIZADOS</w:t>
      </w:r>
    </w:p>
    <w:p w:rsidR="00000000" w:rsidDel="00000000" w:rsidP="00000000" w:rsidRDefault="00000000" w:rsidRPr="00000000" w14:paraId="00000002">
      <w:pPr>
        <w:pageBreakBefore w:val="0"/>
        <w:widowControl w:val="0"/>
        <w:spacing w:before="160" w:line="360" w:lineRule="auto"/>
        <w:ind w:left="0" w:right="0" w:firstLine="0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DENOMINACIÓN Y OBJETO; DURACIÓN, IMPORTE DE LICITACIÓN Y DE ADJUDICACIÓN, PROCEDIMIENTO UTILIZADO, INSTRUMENTOS A TRAVÉS DE LOS QUE, EN SU CASO, SE HAYA PUBLICITADO; NÚMERO DE LICITADORES/RAS PARTICIPANTES EN EL PROCEDIMIENTOS E IDENTIDAD DE LAS PERSONAS O ENTIDADES A LAS QUE SE ADJUDICA EL CONTRATO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before="280" w:line="360" w:lineRule="auto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En las tablas expuestas en el presente se muestra la relación de contratos formalizados en el año 2021 según los procedimientos utilizados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por parte de la Entidad Pública Empresarial Local “Centros de Arte, Cultura y Turismo de Lanzarote”.</w:t>
      </w:r>
    </w:p>
    <w:p w:rsidR="00000000" w:rsidDel="00000000" w:rsidP="00000000" w:rsidRDefault="00000000" w:rsidRPr="00000000" w14:paraId="00000004">
      <w:pPr>
        <w:spacing w:after="280" w:before="280" w:line="360" w:lineRule="auto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Las adjudicaciones de los contratos formalizados en el año 2021 por parte de la Entidad Pública Empresarial Local “Centros de Arte, Cultura y Turismo de Lanzarote” se han publicado en el apartado </w:t>
      </w:r>
      <w:hyperlink r:id="rId6">
        <w:r w:rsidDel="00000000" w:rsidR="00000000" w:rsidRPr="00000000">
          <w:rPr>
            <w:rFonts w:ascii="Montserrat" w:cs="Montserrat" w:eastAsia="Montserrat" w:hAnsi="Montserrat"/>
            <w:color w:val="1155cc"/>
            <w:sz w:val="22"/>
            <w:szCs w:val="22"/>
            <w:u w:val="single"/>
            <w:rtl w:val="0"/>
          </w:rPr>
          <w:t xml:space="preserve">Perfil del Contratante</w:t>
        </w:r>
      </w:hyperlink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de nuestra web </w:t>
      </w:r>
      <w:hyperlink r:id="rId7">
        <w:r w:rsidDel="00000000" w:rsidR="00000000" w:rsidRPr="00000000">
          <w:rPr>
            <w:rFonts w:ascii="Montserrat" w:cs="Montserrat" w:eastAsia="Montserrat" w:hAnsi="Montserrat"/>
            <w:color w:val="1155cc"/>
            <w:sz w:val="22"/>
            <w:szCs w:val="22"/>
            <w:u w:val="single"/>
            <w:rtl w:val="0"/>
          </w:rPr>
          <w:t xml:space="preserve">www.centrosturisticos.com</w:t>
        </w:r>
      </w:hyperlink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dentro de cada licitación en el año correspondiente a su convocatoria: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36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A modo de resumen anual:</w:t>
      </w:r>
    </w:p>
    <w:tbl>
      <w:tblPr>
        <w:tblStyle w:val="Table1"/>
        <w:tblW w:w="72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55"/>
        <w:gridCol w:w="1620"/>
        <w:gridCol w:w="1710"/>
        <w:gridCol w:w="1875"/>
        <w:tblGridChange w:id="0">
          <w:tblGrid>
            <w:gridCol w:w="2055"/>
            <w:gridCol w:w="1620"/>
            <w:gridCol w:w="1710"/>
            <w:gridCol w:w="187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line="360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AÑO 2021. 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360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CONTRATOS FORMALIZADOS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TIPO DE PROCEDIMIENTO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Nº DE CONTRATOS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IMPORTE DE LICITACIÓN (sin IGIC)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IMPORTE DE ADJUDICACIÓN (sin IGIC)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ABIERTO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444.932,46 €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444.147,46 €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ABIERTO SIMPLIFICADO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22.850,00 €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15.110,94 €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NEGOCIADO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220.078,96 €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220.078,96 €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687.861,42 €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679.337,36 €</w:t>
            </w:r>
          </w:p>
        </w:tc>
      </w:tr>
    </w:tbl>
    <w:p w:rsidR="00000000" w:rsidDel="00000000" w:rsidP="00000000" w:rsidRDefault="00000000" w:rsidRPr="00000000" w14:paraId="0000001F">
      <w:pPr>
        <w:spacing w:before="280" w:line="360" w:lineRule="auto"/>
        <w:jc w:val="both"/>
        <w:rPr>
          <w:rFonts w:ascii="Montserrat" w:cs="Montserrat" w:eastAsia="Montserrat" w:hAnsi="Montserrat"/>
          <w:sz w:val="22"/>
          <w:szCs w:val="22"/>
          <w:highlight w:val="white"/>
        </w:rPr>
        <w:sectPr>
          <w:headerReference r:id="rId8" w:type="default"/>
          <w:headerReference r:id="rId9" w:type="first"/>
          <w:footerReference r:id="rId10" w:type="default"/>
          <w:footerReference r:id="rId11" w:type="first"/>
          <w:pgSz w:h="16838" w:w="11906" w:orient="portrait"/>
          <w:pgMar w:bottom="1403.5039370078755" w:top="1559.0551181102362" w:left="1133.858267716535" w:right="1132.2047244094488" w:header="136.06299212598427" w:footer="570.0000000000041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280" w:line="360" w:lineRule="auto"/>
        <w:jc w:val="both"/>
        <w:rPr>
          <w:rFonts w:ascii="Montserrat" w:cs="Montserrat" w:eastAsia="Montserrat" w:hAnsi="Montserrat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571.732283464571" w:type="dxa"/>
        <w:jc w:val="left"/>
        <w:tblInd w:w="40.0" w:type="pct"/>
        <w:tblLayout w:type="fixed"/>
        <w:tblLook w:val="0600"/>
      </w:tblPr>
      <w:tblGrid>
        <w:gridCol w:w="1421.8931721942686"/>
        <w:gridCol w:w="1101.165388992554"/>
        <w:gridCol w:w="983.5652018185918"/>
        <w:gridCol w:w="6703.210668915837"/>
        <w:gridCol w:w="1849.5302164632217"/>
        <w:gridCol w:w="1250.8383544866874"/>
        <w:gridCol w:w="1261.5292805934112"/>
        <w:tblGridChange w:id="0">
          <w:tblGrid>
            <w:gridCol w:w="1421.8931721942686"/>
            <w:gridCol w:w="1101.165388992554"/>
            <w:gridCol w:w="983.5652018185918"/>
            <w:gridCol w:w="6703.210668915837"/>
            <w:gridCol w:w="1849.5302164632217"/>
            <w:gridCol w:w="1250.8383544866874"/>
            <w:gridCol w:w="1261.5292805934112"/>
          </w:tblGrid>
        </w:tblGridChange>
      </w:tblGrid>
      <w:tr>
        <w:trPr>
          <w:cantSplit w:val="0"/>
          <w:trHeight w:val="13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ffffff" w:space="0" w:sz="18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z w:val="14"/>
                <w:szCs w:val="14"/>
                <w:rtl w:val="0"/>
              </w:rPr>
              <w:t xml:space="preserve">PROCEDIMIENTO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8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z w:val="14"/>
                <w:szCs w:val="14"/>
                <w:rtl w:val="0"/>
              </w:rPr>
              <w:t xml:space="preserve">N.º EXPEDIENTE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8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i w:val="1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z w:val="14"/>
                <w:szCs w:val="14"/>
                <w:rtl w:val="0"/>
              </w:rPr>
              <w:t xml:space="preserve">TIPO DE CONTRATO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8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z w:val="14"/>
                <w:szCs w:val="14"/>
                <w:rtl w:val="0"/>
              </w:rPr>
              <w:t xml:space="preserve">DENOMINACIÓN Y OBJETO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8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z w:val="14"/>
                <w:szCs w:val="14"/>
                <w:rtl w:val="0"/>
              </w:rPr>
              <w:t xml:space="preserve">NOMBRE DEL ADJUDICATARIO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8" w:val="single"/>
              <w:right w:color="000000" w:space="0" w:sz="0" w:val="nil"/>
            </w:tcBorders>
            <w:shd w:fill="8093b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rtl w:val="0"/>
              </w:rPr>
              <w:t xml:space="preserve">IMPORTE DE LICITACIÓN (sin IGIC y otros impuestos indirectos)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8" w:val="single"/>
              <w:right w:color="000000" w:space="0" w:sz="0" w:val="nil"/>
            </w:tcBorders>
            <w:shd w:fill="8093b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rtl w:val="0"/>
              </w:rPr>
              <w:t xml:space="preserve">IMPORTE DE ADJUDICACIÓN(sin IGIC y otros impuestos indirectos)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Abierto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334/2021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Servicio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servicios procedimiento abierto - Servicio de Desinfección y Desratización de las oficinas y las diferentes instalaciones adscritas a los CACT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Guerra y Fernandez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3.746,00 €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2.961,00 €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835/2020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Servicio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Servicio de mantenimiento y reparaciones mecánicas para los vehículos propiedad de EPEL-CACT (LOTE 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JUAN ANTONIO RIVERA, SL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25.000,00 €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25.000,00 €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Servicio de mantenimiento y reparaciones mecánicas para los vehículos propiedad de EPEL-CACT (LOTE 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JUAN ANTONIO RIVERA, SL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150.000,00 €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150.000,00 €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Servicio de mantenimiento y reparaciones mecánicas para los vehículos propiedad de EPEL-CACT (LOTE 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JUAN ANTONIO RIVERA, SL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14.000,00 €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14.000,00 €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Servicio de mantenimiento y reparaciones mecánicas para los vehículos propiedad de EPEL-CACT (LOTE 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JUAN ISMAEL DELGADO MARTÍN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2.000,00 €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2.000,00 €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Servicio de mantenimiento y reparaciones mecánicas para los vehículos propiedad de EPEL-CACT (LOTE 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JUAN ISMAEL DELGADO MARTÍN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10.000,00 €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10.000,00 €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line="276" w:lineRule="auto"/>
              <w:ind w:left="-14580" w:right="-14580" w:firstLine="0"/>
              <w:jc w:val="center"/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845/2020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Suministro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Suministro de energía eléctrica de las instalaciones de los CACT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Aura Energía S.l.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240.186,46 €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240.186,46 €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Total Abierto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444.932,46 €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444.147,46 €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Abierto simplificado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448/2020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Servicio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Servicio de Control de aves en Jardín de Cactus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AVEX CONTROL SRL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6.500,00 €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4.920,00 €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line="276" w:lineRule="auto"/>
              <w:ind w:left="-14580" w:right="-14580" w:firstLine="0"/>
              <w:jc w:val="left"/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764/2020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Servicio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Servicio anual de mantenimiento y verificación de las Instalaciones y Sistemas de Protección Contra Incendios en los CACT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YASNOVA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4.500,00 €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4.260,00 €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972/2020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Servicio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Servicio de Mantenimiento de las Instalaciones de GLP de los CACT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Servi Proyec 2004 S.L.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1.150,00 €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1.080,00 €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974/2020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Servicio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Servicio de Revisiones periódicas de las instalaciones eléctricas de Baja y Alta Tensión (LOTE 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Instaladora Leyce SL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2.200,00 €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1.121,50 €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Servicio de Revisiones periódicas de las instalaciones eléctricas de Baja y Alta Tensión (LOTE 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Instaladora Leyce SL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4.000,00 €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2.579,44 €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975/2020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Servicio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Servicio de limpieza de aljibes y legionella de los CACT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Ezsa Sanidad Ambiental S.L.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4.500,00 €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1.150,00 €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Total Abierto simplificado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22.850,00 €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15.110,94 €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Negociado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289/2021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Servicio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Telefonía fija, telefonía móvil, acceso a internet y datos para los CACT.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Telefónica de España S.A.U.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204.078,96 €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204.078,96 €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324/2021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Servicio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Servicio de Asesoramiento Jurídico Administrativo para reclamación a clientes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José Pablo Lemes Pérez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16.000,00 €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16.000,00 €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ffffff" w:space="0" w:sz="18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Total Negociado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8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8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8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8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8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220.078,96 €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8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220.078,96 €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Suma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687.861,42 €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679.337,36 €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spacing w:before="280" w:line="360" w:lineRule="auto"/>
        <w:jc w:val="both"/>
        <w:rPr>
          <w:rFonts w:ascii="Montserrat" w:cs="Montserrat" w:eastAsia="Montserrat" w:hAnsi="Montserrat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widowControl w:val="0"/>
        <w:spacing w:after="200" w:before="160" w:line="360" w:lineRule="auto"/>
        <w:jc w:val="right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widowControl w:val="0"/>
        <w:spacing w:after="200" w:before="160" w:line="360" w:lineRule="auto"/>
        <w:jc w:val="right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widowControl w:val="0"/>
        <w:spacing w:after="200" w:before="160" w:line="360" w:lineRule="auto"/>
        <w:jc w:val="right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widowControl w:val="0"/>
        <w:spacing w:after="200" w:before="160" w:line="360" w:lineRule="auto"/>
        <w:jc w:val="right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widowControl w:val="0"/>
        <w:spacing w:after="200" w:before="160" w:line="360" w:lineRule="auto"/>
        <w:jc w:val="right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widowControl w:val="0"/>
        <w:spacing w:after="200" w:before="160" w:line="360" w:lineRule="auto"/>
        <w:jc w:val="right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widowControl w:val="0"/>
        <w:spacing w:after="200" w:before="160" w:line="360" w:lineRule="auto"/>
        <w:jc w:val="right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Actualizado: junio 2022</w:t>
      </w: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type w:val="nextPage"/>
      <w:pgSz w:h="11906" w:w="16838" w:orient="landscape"/>
      <w:pgMar w:bottom="1403.5039370078755" w:top="1559.0551181102362" w:left="1133.858267716535" w:right="1132.2047244094488" w:header="136.06299212598427" w:footer="570.000000000004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Arial"/>
  <w:font w:name="Verdana"/>
  <w:font w:name="Times New Roman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C">
    <w:pPr>
      <w:widowControl w:val="0"/>
      <w:tabs>
        <w:tab w:val="center" w:pos="4819"/>
        <w:tab w:val="right" w:pos="9638"/>
      </w:tabs>
      <w:jc w:val="center"/>
      <w:rPr>
        <w:rFonts w:ascii="Montserrat" w:cs="Montserrat" w:eastAsia="Montserrat" w:hAnsi="Montserrat"/>
        <w:b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D">
    <w:pPr>
      <w:widowControl w:val="0"/>
      <w:tabs>
        <w:tab w:val="center" w:pos="4819"/>
        <w:tab w:val="right" w:pos="9638"/>
      </w:tabs>
      <w:jc w:val="center"/>
      <w:rPr>
        <w:rFonts w:ascii="Montserrat" w:cs="Montserrat" w:eastAsia="Montserrat" w:hAnsi="Montserrat"/>
        <w:b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E">
    <w:pPr>
      <w:tabs>
        <w:tab w:val="center" w:pos="4252"/>
        <w:tab w:val="right" w:pos="8504"/>
        <w:tab w:val="center" w:pos="4252"/>
        <w:tab w:val="left" w:pos="6080"/>
        <w:tab w:val="right" w:pos="8504"/>
      </w:tabs>
      <w:jc w:val="center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F">
    <w:pPr>
      <w:keepNext w:val="1"/>
      <w:pageBreakBefore w:val="0"/>
      <w:tabs>
        <w:tab w:val="center" w:pos="4252"/>
        <w:tab w:val="right" w:pos="9066.1417322834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4159700</wp:posOffset>
          </wp:positionH>
          <wp:positionV relativeFrom="paragraph">
            <wp:posOffset>114750</wp:posOffset>
          </wp:positionV>
          <wp:extent cx="1872000" cy="483212"/>
          <wp:effectExtent b="0" l="0" r="0" t="0"/>
          <wp:wrapSquare wrapText="bothSides" distB="57600" distT="57600" distL="57600" distR="576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C0">
    <w:pPr>
      <w:keepNext w:val="1"/>
      <w:pageBreakBefore w:val="0"/>
      <w:tabs>
        <w:tab w:val="center" w:pos="4252"/>
        <w:tab w:val="right" w:pos="9066.141732283466"/>
      </w:tabs>
      <w:ind w:left="70.86614173228341" w:firstLine="4.13385826771659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0C1">
    <w:pPr>
      <w:keepNext w:val="1"/>
      <w:pageBreakBefore w:val="0"/>
      <w:tabs>
        <w:tab w:val="center" w:pos="4252"/>
        <w:tab w:val="right" w:pos="8505"/>
      </w:tabs>
      <w:ind w:left="70.86614173228341" w:firstLine="4.13385826771659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0C2">
    <w:pPr>
      <w:keepNext w:val="1"/>
      <w:pageBreakBefore w:val="0"/>
      <w:tabs>
        <w:tab w:val="center" w:pos="4252"/>
        <w:tab w:val="right" w:pos="8504"/>
      </w:tabs>
      <w:ind w:left="283.4645669291339" w:hanging="208.46456692913392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0C3">
    <w:pPr>
      <w:keepNext w:val="1"/>
      <w:pageBreakBefore w:val="0"/>
      <w:tabs>
        <w:tab w:val="center" w:pos="4252"/>
        <w:tab w:val="right" w:pos="8504"/>
      </w:tabs>
      <w:ind w:left="283.4645669291339" w:hanging="208.46456692913392"/>
      <w:rPr>
        <w:rFonts w:ascii="Times New Roman" w:cs="Times New Roman" w:eastAsia="Times New Roman" w:hAnsi="Times New Roman"/>
        <w:sz w:val="12"/>
        <w:szCs w:val="12"/>
        <w:highlight w:val="white"/>
      </w:rPr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A">
    <w:pPr>
      <w:tabs>
        <w:tab w:val="center" w:pos="4252"/>
        <w:tab w:val="right" w:pos="8504"/>
        <w:tab w:val="center" w:pos="4252"/>
        <w:tab w:val="left" w:pos="6080"/>
        <w:tab w:val="right" w:pos="8504"/>
      </w:tabs>
      <w:jc w:val="center"/>
      <w:rPr>
        <w:rFonts w:ascii="Montserrat" w:cs="Montserrat" w:eastAsia="Montserrat" w:hAnsi="Montserrat"/>
        <w:b w:val="1"/>
        <w:color w:val="00000a"/>
        <w:sz w:val="12"/>
        <w:szCs w:val="1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B">
    <w:pPr>
      <w:tabs>
        <w:tab w:val="center" w:pos="4252"/>
        <w:tab w:val="right" w:pos="8504"/>
        <w:tab w:val="center" w:pos="4252"/>
        <w:tab w:val="left" w:pos="6080"/>
        <w:tab w:val="right" w:pos="8504"/>
      </w:tabs>
      <w:jc w:val="center"/>
      <w:rPr>
        <w:rFonts w:ascii="Montserrat" w:cs="Montserrat" w:eastAsia="Montserrat" w:hAnsi="Montserrat"/>
        <w:b w:val="1"/>
        <w:color w:val="00000a"/>
        <w:sz w:val="12"/>
        <w:szCs w:val="1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C">
    <w:pPr>
      <w:tabs>
        <w:tab w:val="center" w:pos="4252"/>
        <w:tab w:val="right" w:pos="8504"/>
        <w:tab w:val="center" w:pos="4252"/>
        <w:tab w:val="left" w:pos="6080"/>
        <w:tab w:val="right" w:pos="8504"/>
      </w:tabs>
      <w:jc w:val="center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D">
    <w:pPr>
      <w:keepNext w:val="1"/>
      <w:tabs>
        <w:tab w:val="center" w:pos="4252"/>
        <w:tab w:val="right" w:pos="9066.1417322834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4159700</wp:posOffset>
          </wp:positionH>
          <wp:positionV relativeFrom="paragraph">
            <wp:posOffset>114750</wp:posOffset>
          </wp:positionV>
          <wp:extent cx="1872000" cy="483212"/>
          <wp:effectExtent b="0" l="0" r="0" t="0"/>
          <wp:wrapSquare wrapText="bothSides" distB="57600" distT="57600" distL="57600" distR="5760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CE">
    <w:pPr>
      <w:keepNext w:val="1"/>
      <w:tabs>
        <w:tab w:val="center" w:pos="4252"/>
        <w:tab w:val="right" w:pos="9066.141732283466"/>
      </w:tabs>
      <w:ind w:left="70.86614173228341" w:firstLine="4.13385826771659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0CF">
    <w:pPr>
      <w:keepNext w:val="1"/>
      <w:tabs>
        <w:tab w:val="center" w:pos="4252"/>
        <w:tab w:val="right" w:pos="8505"/>
      </w:tabs>
      <w:ind w:left="70.86614173228341" w:firstLine="4.13385826771659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0D0">
    <w:pPr>
      <w:keepNext w:val="1"/>
      <w:tabs>
        <w:tab w:val="center" w:pos="4252"/>
        <w:tab w:val="right" w:pos="8504"/>
      </w:tabs>
      <w:ind w:left="283.4645669291339" w:hanging="208.46456692913392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0D1">
    <w:pPr>
      <w:keepNext w:val="1"/>
      <w:tabs>
        <w:tab w:val="center" w:pos="4252"/>
        <w:tab w:val="right" w:pos="8504"/>
      </w:tabs>
      <w:ind w:left="283.4645669291339" w:hanging="208.46456692913392"/>
      <w:rPr>
        <w:rFonts w:ascii="Times New Roman" w:cs="Times New Roman" w:eastAsia="Times New Roman" w:hAnsi="Times New Roman"/>
        <w:sz w:val="12"/>
        <w:szCs w:val="12"/>
        <w:highlight w:val="white"/>
      </w:rPr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2">
    <w:pPr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3">
    <w:pPr>
      <w:tabs>
        <w:tab w:val="center" w:pos="4252"/>
        <w:tab w:val="right" w:pos="8504"/>
        <w:tab w:val="center" w:pos="4252"/>
        <w:tab w:val="left" w:pos="6080"/>
        <w:tab w:val="right" w:pos="8504"/>
      </w:tabs>
      <w:jc w:val="center"/>
      <w:rPr>
        <w:rFonts w:ascii="Montserrat" w:cs="Montserrat" w:eastAsia="Montserrat" w:hAnsi="Montserrat"/>
        <w:color w:val="808080"/>
        <w:sz w:val="8"/>
        <w:szCs w:val="8"/>
      </w:rPr>
    </w:pP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4">
    <w:pPr>
      <w:tabs>
        <w:tab w:val="center" w:pos="4252"/>
        <w:tab w:val="right" w:pos="8504"/>
      </w:tabs>
      <w:jc w:val="center"/>
      <w:rPr>
        <w:rFonts w:ascii="Calibri" w:cs="Calibri" w:eastAsia="Calibri" w:hAnsi="Calibri"/>
        <w:color w:val="808080"/>
        <w:sz w:val="12"/>
        <w:szCs w:val="1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7377075</wp:posOffset>
          </wp:positionH>
          <wp:positionV relativeFrom="paragraph">
            <wp:posOffset>76650</wp:posOffset>
          </wp:positionV>
          <wp:extent cx="1872000" cy="483212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D5">
    <w:pPr>
      <w:tabs>
        <w:tab w:val="center" w:pos="4252"/>
        <w:tab w:val="right" w:pos="8504"/>
      </w:tabs>
      <w:jc w:val="center"/>
      <w:rPr>
        <w:rFonts w:ascii="Calibri" w:cs="Calibri" w:eastAsia="Calibri" w:hAnsi="Calibri"/>
        <w:color w:val="808080"/>
        <w:sz w:val="12"/>
        <w:szCs w:val="1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6">
    <w:pPr>
      <w:keepNext w:val="1"/>
      <w:widowControl w:val="0"/>
      <w:tabs>
        <w:tab w:val="center" w:pos="4252"/>
        <w:tab w:val="right" w:pos="90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0D7">
    <w:pPr>
      <w:keepNext w:val="1"/>
      <w:widowControl w:val="0"/>
      <w:tabs>
        <w:tab w:val="center" w:pos="4252"/>
        <w:tab w:val="right" w:pos="8505"/>
      </w:tabs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0D8">
    <w:pPr>
      <w:keepNext w:val="1"/>
      <w:widowControl w:val="0"/>
      <w:tabs>
        <w:tab w:val="center" w:pos="4252"/>
        <w:tab w:val="right" w:pos="8504"/>
      </w:tabs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0D9">
    <w:pPr>
      <w:keepNext w:val="1"/>
      <w:widowControl w:val="0"/>
      <w:tabs>
        <w:tab w:val="center" w:pos="4252"/>
        <w:tab w:val="right" w:pos="8504"/>
      </w:tabs>
      <w:rPr/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5">
    <w:pPr>
      <w:keepNext w:val="1"/>
      <w:pageBreakBefore w:val="0"/>
      <w:tabs>
        <w:tab w:val="center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295275</wp:posOffset>
          </wp:positionV>
          <wp:extent cx="1828800" cy="552298"/>
          <wp:effectExtent b="0" l="0" r="0" t="0"/>
          <wp:wrapSquare wrapText="bothSides" distB="114300" distT="114300" distL="114300" distR="114300"/>
          <wp:docPr id="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B6">
    <w:pPr>
      <w:keepNext w:val="1"/>
      <w:pageBreakBefore w:val="0"/>
      <w:tabs>
        <w:tab w:val="center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7">
    <w:pPr>
      <w:keepNext w:val="1"/>
      <w:pageBreakBefore w:val="0"/>
      <w:tabs>
        <w:tab w:val="center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8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9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A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  <w:rtl w:val="0"/>
      </w:rPr>
      <w:t xml:space="preserve">                         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                                            </w:t>
    </w:r>
  </w:p>
  <w:p w:rsidR="00000000" w:rsidDel="00000000" w:rsidP="00000000" w:rsidRDefault="00000000" w:rsidRPr="00000000" w14:paraId="000000BB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4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1828800" cy="552298"/>
          <wp:effectExtent b="0" l="0" r="0" t="0"/>
          <wp:wrapSquare wrapText="bothSides" distB="114300" distT="114300" distL="114300" distR="11430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C5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6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7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9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A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1828800" cy="552298"/>
          <wp:effectExtent b="0" l="0" r="0" t="0"/>
          <wp:wrapSquare wrapText="bothSides" distB="114300" distT="114300" distL="114300" distR="114300"/>
          <wp:docPr id="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both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3" Type="http://schemas.openxmlformats.org/officeDocument/2006/relationships/footer" Target="footer3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hyperlink" Target="https://www.centrosturisticos.com/perfil-del-contratante/" TargetMode="External"/><Relationship Id="rId7" Type="http://schemas.openxmlformats.org/officeDocument/2006/relationships/hyperlink" Target="http://www.centrosturisticos.com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www.centrosturisticos.com" TargetMode="External"/><Relationship Id="rId3" Type="http://schemas.openxmlformats.org/officeDocument/2006/relationships/hyperlink" Target="http://www.cactlanzarote.com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www.centrosturisticos.com" TargetMode="External"/><Relationship Id="rId3" Type="http://schemas.openxmlformats.org/officeDocument/2006/relationships/hyperlink" Target="http://www.cactlanzarote.com" TargetMode="Externa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www.centrosturisticos.com" TargetMode="External"/><Relationship Id="rId3" Type="http://schemas.openxmlformats.org/officeDocument/2006/relationships/hyperlink" Target="http://www.cactlanzarote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