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CONTRATOS FORMALIZADOS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las tablas expuestas en el presente se muestra la relación de contratos formalizados en el año 2021 según los procedimientos utilizados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por parte de la Entidad Pública Empresarial Local “Centros de Arte, Cultura y Turismo de Lanzarote”.</w:t>
      </w:r>
    </w:p>
    <w:p w:rsidR="00000000" w:rsidDel="00000000" w:rsidP="00000000" w:rsidRDefault="00000000" w:rsidRPr="00000000" w14:paraId="00000004">
      <w:pPr>
        <w:spacing w:after="28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Las adjudicaciones de los contratos formalizados en el año 2021 por parte de la Entidad Pública Empresarial Local “Centros de Arte, Cultura y Turismo de Lanzarote” se han publicado en el apartado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 nuestra web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dentro de cada licitación en el año correspondiente a su convocatoria: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modo de resumen anual:</w:t>
      </w:r>
    </w:p>
    <w:tbl>
      <w:tblPr>
        <w:tblStyle w:val="Table1"/>
        <w:tblW w:w="72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1620"/>
        <w:gridCol w:w="1710"/>
        <w:gridCol w:w="1875"/>
        <w:tblGridChange w:id="0">
          <w:tblGrid>
            <w:gridCol w:w="2055"/>
            <w:gridCol w:w="1620"/>
            <w:gridCol w:w="1710"/>
            <w:gridCol w:w="18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AÑO 2021.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CONTRATOS FORMALIZADOS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TIPO DE PROCEDIMIENTO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Nº DE CONTRATOS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IMPORTE DE LICITACIÓN (sin IGIC)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IMPORTE DE ADJUDICACIÓN (sin IGIC)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ABIERTO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444.932,46 €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444.147,46 €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ABIERTO SIMPLIFICADO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22.850,00 €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15.110,94 €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NEGOCIADO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220.078,96 €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220.078,96 €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687.861,42 €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679.337,36 €</w:t>
            </w:r>
          </w:p>
        </w:tc>
      </w:tr>
    </w:tbl>
    <w:p w:rsidR="00000000" w:rsidDel="00000000" w:rsidP="00000000" w:rsidRDefault="00000000" w:rsidRPr="00000000" w14:paraId="0000001F">
      <w:pPr>
        <w:spacing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  <w:sectPr>
          <w:headerReference r:id="rId8" w:type="default"/>
          <w:headerReference r:id="rId9" w:type="first"/>
          <w:footerReference r:id="rId10" w:type="default"/>
          <w:footerReference r:id="rId11" w:type="firs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571.732283464571" w:type="dxa"/>
        <w:jc w:val="left"/>
        <w:tblInd w:w="40.0" w:type="pct"/>
        <w:tblLayout w:type="fixed"/>
        <w:tblLook w:val="0600"/>
      </w:tblPr>
      <w:tblGrid>
        <w:gridCol w:w="1421.8931721942686"/>
        <w:gridCol w:w="1101.165388992554"/>
        <w:gridCol w:w="983.5652018185918"/>
        <w:gridCol w:w="6703.210668915837"/>
        <w:gridCol w:w="1849.5302164632217"/>
        <w:gridCol w:w="1250.8383544866874"/>
        <w:gridCol w:w="1261.5292805934112"/>
        <w:tblGridChange w:id="0">
          <w:tblGrid>
            <w:gridCol w:w="1421.8931721942686"/>
            <w:gridCol w:w="1101.165388992554"/>
            <w:gridCol w:w="983.5652018185918"/>
            <w:gridCol w:w="6703.210668915837"/>
            <w:gridCol w:w="1849.5302164632217"/>
            <w:gridCol w:w="1250.8383544866874"/>
            <w:gridCol w:w="1261.5292805934112"/>
          </w:tblGrid>
        </w:tblGridChange>
      </w:tblGrid>
      <w:tr>
        <w:trPr>
          <w:cantSplit w:val="0"/>
          <w:trHeight w:val="135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PROCEDIMIENTO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N.º EXPEDIENTE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TIPO DE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DENOMINACIÓN Y OBJETO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i w:val="1"/>
                <w:sz w:val="14"/>
                <w:szCs w:val="14"/>
                <w:rtl w:val="0"/>
              </w:rPr>
              <w:t xml:space="preserve">NOMBRE DEL ADJUDICATARIO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IMPORTE DE LICITACIÓN (sin IGIC y otros impuestos indirectos)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8093b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4"/>
                <w:szCs w:val="14"/>
                <w:rtl w:val="0"/>
              </w:rPr>
              <w:t xml:space="preserve">IMPORTE DE ADJUDICACIÓN(sin IGIC y otros impuestos indirectos)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Abierto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334/2021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servicios procedimiento abierto - Servicio de Desinfección y Desratización de las oficinas y las diferentes instalaciones adscritas a los 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Guerra y Fernandez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3.746,00 €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2.961,00 €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835/2020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mantenimiento y reparaciones mecánicas para los vehículos propiedad de EPEL-CACT (LOTE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JUAN ANTONIO RIVERA,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25.000,00 €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25.000,00 €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mantenimiento y reparaciones mecánicas para los vehículos propiedad de EPEL-CACT (LOTE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JUAN ANTONIO RIVERA,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150.000,00 €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150.000,00 €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mantenimiento y reparaciones mecánicas para los vehículos propiedad de EPEL-CACT (LOTE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JUAN ANTONIO RIVERA,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14.000,00 €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14.000,00 €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mantenimiento y reparaciones mecánicas para los vehículos propiedad de EPEL-CACT (LOTE 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JUAN ISMAEL DELGADO MARTÍN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mantenimiento y reparaciones mecánicas para los vehículos propiedad de EPEL-CACT (LOTE 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JUAN ISMAEL DELGADO MARTÍN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10.000,00 €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76" w:lineRule="auto"/>
              <w:ind w:left="-14580" w:right="-14580" w:firstLine="0"/>
              <w:jc w:val="center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845/2020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Suministro de energía eléctrica de las instalaciones de los 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Aura Energía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240.186,46 €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240.186,46 €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Total Abierto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444.932,46 €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444.147,46 €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Abierto simplificado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448/2020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Control de aves en Jardín de Cactus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AVEX CONTROL SRL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6.500,00 €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4.920,00 €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ind w:left="-14580" w:right="-14580" w:firstLine="0"/>
              <w:jc w:val="left"/>
              <w:rPr>
                <w:rFonts w:ascii="Montserrat" w:cs="Montserrat" w:eastAsia="Montserrat" w:hAnsi="Montserrat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764/2020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anual de mantenimiento y verificación de las Instalaciones y Sistemas de Protección Contra Incendios en los 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YASNOVA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4.260,00 €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972/2020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Mantenimiento de las Instalaciones de GLP de los 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 Proyec 2004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1.150,00 €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1.080,00 €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974/2020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Revisiones periódicas de las instalaciones eléctricas de Baja y Alta Tensión (LOTE 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Instaladora Leyce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2.200,00 €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1.121,50 €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Revisiones periódicas de las instalaciones eléctricas de Baja y Alta Tensión (LOTE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Instaladora Leyce SL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2.579,44 €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975/2020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limpieza de aljibes y legionella de los CACT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Ezsa Sanidad Ambiental S.L.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4.500,00 €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1.150,00 €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Total Abierto simplificado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22.850,00 €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15.110,94 €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Negociado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289/2021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Telefonía fija, telefonía móvil, acceso a internet y datos para los CACT.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Telefónica de España S.A.U.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204.078,96 €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204.078,96 €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324/2021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Servicio de Asesoramiento Jurídico Administrativo para reclamación a clientes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ffffff" w:space="0" w:sz="7" w:val="single"/>
            </w:tcBorders>
            <w:shd w:fill="f4f6f8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José Pablo Lemes Pérez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16.000,00 €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7" w:val="single"/>
              <w:right w:color="000000" w:space="0" w:sz="0" w:val="nil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16.000,00 €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Total Negociado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220.078,96 €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ffffff" w:space="0" w:sz="18" w:val="single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16"/>
                <w:szCs w:val="16"/>
                <w:rtl w:val="0"/>
              </w:rPr>
              <w:t xml:space="preserve">220.078,96 €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Suma 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line="276" w:lineRule="auto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687.861,42 €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fe4ec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spacing w:line="276" w:lineRule="auto"/>
              <w:jc w:val="righ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16"/>
                <w:szCs w:val="16"/>
                <w:rtl w:val="0"/>
              </w:rPr>
              <w:t xml:space="preserve">679.337,36 €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spacing w:before="280" w:line="360" w:lineRule="auto"/>
        <w:jc w:val="both"/>
        <w:rPr>
          <w:rFonts w:ascii="Montserrat" w:cs="Montserrat" w:eastAsia="Montserrat" w:hAnsi="Montserrat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0"/>
          <w:szCs w:val="20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18"/>
          <w:szCs w:val="18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type w:val="nextPage"/>
      <w:pgSz w:h="11906" w:w="16838" w:orient="landscape"/>
      <w:pgMar w:bottom="1403.5039370078755" w:top="1559.0551181102362" w:left="1133.858267716535" w:right="1132.2047244094488" w:header="136.06299212598427" w:footer="570.00000000000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Arial"/>
  <w:font w:name="Verdana"/>
  <w:font w:name="Times New Roman"/>
  <w:font w:name="Calibri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C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D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0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C1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C2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C3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B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C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D">
    <w:pPr>
      <w:keepNext w:val="1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E">
    <w:pPr>
      <w:keepNext w:val="1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CF">
    <w:pPr>
      <w:keepNext w:val="1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D0">
    <w:pPr>
      <w:keepNext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D1">
    <w:pPr>
      <w:keepNext w:val="1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color w:val="808080"/>
        <w:sz w:val="8"/>
        <w:szCs w:val="8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808080"/>
        <w:sz w:val="12"/>
        <w:szCs w:val="1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7377075</wp:posOffset>
          </wp:positionH>
          <wp:positionV relativeFrom="paragraph">
            <wp:posOffset>76650</wp:posOffset>
          </wp:positionV>
          <wp:extent cx="1872000" cy="48321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5">
    <w:pPr>
      <w:tabs>
        <w:tab w:val="center" w:pos="4252"/>
        <w:tab w:val="right" w:pos="8504"/>
      </w:tabs>
      <w:jc w:val="center"/>
      <w:rPr>
        <w:rFonts w:ascii="Calibri" w:cs="Calibri" w:eastAsia="Calibri" w:hAnsi="Calibri"/>
        <w:color w:val="80808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6">
    <w:pPr>
      <w:keepNext w:val="1"/>
      <w:widowControl w:val="0"/>
      <w:tabs>
        <w:tab w:val="center" w:pos="4252"/>
        <w:tab w:val="right" w:pos="90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D7">
    <w:pPr>
      <w:keepNext w:val="1"/>
      <w:widowControl w:val="0"/>
      <w:tabs>
        <w:tab w:val="center" w:pos="4252"/>
        <w:tab w:val="right" w:pos="8505"/>
      </w:tabs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D8">
    <w:pPr>
      <w:keepNext w:val="1"/>
      <w:widowControl w:val="0"/>
      <w:tabs>
        <w:tab w:val="center" w:pos="4252"/>
        <w:tab w:val="right" w:pos="8504"/>
      </w:tabs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D9">
    <w:pPr>
      <w:keepNext w:val="1"/>
      <w:widowControl w:val="0"/>
      <w:tabs>
        <w:tab w:val="center" w:pos="4252"/>
        <w:tab w:val="right" w:pos="8504"/>
      </w:tabs>
      <w:rPr/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B6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7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A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BB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9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A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828800" cy="552298"/>
          <wp:effectExtent b="0" l="0" r="0" t="0"/>
          <wp:wrapSquare wrapText="bothSides" distB="114300" distT="114300" distL="114300" distR="11430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3" Type="http://schemas.openxmlformats.org/officeDocument/2006/relationships/footer" Target="footer3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7" Type="http://schemas.openxmlformats.org/officeDocument/2006/relationships/hyperlink" Target="http://www.centrosturisticos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