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DATOS ESTADÍSTICOS SOBRE EL PORCENTAJE EN VOLUMEN PRESUPUESTARIO DE CONTRATOS ADJUDICADOS A TRAVÉS DE CADA UNO DE LOS PROCEDIMIENTOS PREVISTOS EN LA LEGISLACIÓN DE CONTRATOS DEL SECTOR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siguiente  tabla se  expone la relación de los contratos licitados, adjudicados en el año 2021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Empresarial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Local “Centros de Arte, Cultura y Turismo de Lanzarote”, señalando el tipo de procedimiento por el que se han suscrito y lo que representan dichos procedimientos sobre el total de contratos licitados con publicidad.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9639.4488188976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8.1019535952119"/>
        <w:gridCol w:w="1392.5150467692242"/>
        <w:gridCol w:w="1406.0346103300903"/>
        <w:gridCol w:w="1784.5823900343455"/>
        <w:gridCol w:w="1514.1911188170204"/>
        <w:gridCol w:w="1744.0236993517467"/>
        <w:tblGridChange w:id="0">
          <w:tblGrid>
            <w:gridCol w:w="1798.1019535952119"/>
            <w:gridCol w:w="1392.5150467692242"/>
            <w:gridCol w:w="1406.0346103300903"/>
            <w:gridCol w:w="1784.5823900343455"/>
            <w:gridCol w:w="1514.1911188170204"/>
            <w:gridCol w:w="1744.0236993517467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LICITACIONES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LICITACIONES POR PROCEDIMIENTO S/TOTAL DE CONTRATOS LICITADOS CON PUBLICIDAD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204.746,00 €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203.961,00 €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Suministro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240.186,46 €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240.186,46 €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444.932,46 €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444.147,46 €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22.850,00 €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15.110,94 €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22.850,00 €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15.110,94 €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Negociado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Negociado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220.078,96 €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687.861,42 €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679.337,36 €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4A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4B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4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8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9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A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4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