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1"/>
        <w:spacing w:line="36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a"/>
          <w:rtl w:val="0"/>
        </w:rPr>
        <w:t xml:space="preserve">PERIODO MEDIO DE PAGO (PMP)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36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before="280" w:line="360" w:lineRule="auto"/>
        <w:jc w:val="both"/>
        <w:rPr>
          <w:rFonts w:ascii="Montserrat" w:cs="Montserrat" w:eastAsia="Montserrat" w:hAnsi="Montserrat"/>
          <w:color w:val="00000a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a"/>
          <w:sz w:val="22"/>
          <w:szCs w:val="22"/>
          <w:rtl w:val="0"/>
        </w:rPr>
        <w:t xml:space="preserve">El período medio de pago definido en el Real Decreto 1040/2017, de 22 de diciembre, por el que se modifica el Real Decreto 635/2014, de 25 de julio, mide el retraso en el pago de la deuda comercial en términos económicos, como indicador distinto respecto del periodo legal de pago en la Ley 3/2004, de 29 de diciembre, por la que se establecen medidas de lucha contra la morosidad en las operaciones comerciales. </w:t>
      </w:r>
    </w:p>
    <w:p w:rsidR="00000000" w:rsidDel="00000000" w:rsidP="00000000" w:rsidRDefault="00000000" w:rsidRPr="00000000" w14:paraId="00000004">
      <w:pPr>
        <w:widowControl w:val="1"/>
        <w:spacing w:before="280" w:line="360" w:lineRule="auto"/>
        <w:jc w:val="both"/>
        <w:rPr>
          <w:rFonts w:ascii="Montserrat" w:cs="Montserrat" w:eastAsia="Montserrat" w:hAnsi="Montserrat"/>
          <w:color w:val="00000a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a"/>
          <w:sz w:val="22"/>
          <w:szCs w:val="22"/>
          <w:rtl w:val="0"/>
        </w:rPr>
        <w:t xml:space="preserve">A continuación se presenta el Periodo Medio de Pago de la Entidad Pública Empresarial Local “Centros de Arte, Cultura y Turismo de Lanzarote” del año </w:t>
      </w:r>
      <w:r w:rsidDel="00000000" w:rsidR="00000000" w:rsidRPr="00000000">
        <w:rPr>
          <w:rFonts w:ascii="Montserrat" w:cs="Montserrat" w:eastAsia="Montserrat" w:hAnsi="Montserrat"/>
          <w:color w:val="00000a"/>
          <w:sz w:val="22"/>
          <w:szCs w:val="22"/>
          <w:rtl w:val="0"/>
        </w:rPr>
        <w:t xml:space="preserve">2021</w:t>
      </w:r>
      <w:r w:rsidDel="00000000" w:rsidR="00000000" w:rsidRPr="00000000">
        <w:rPr>
          <w:rFonts w:ascii="Montserrat" w:cs="Montserrat" w:eastAsia="Montserrat" w:hAnsi="Montserrat"/>
          <w:color w:val="00000a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5">
      <w:pPr>
        <w:widowControl w:val="1"/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center"/>
        <w:tblBorders>
          <w:top w:color="4a5f8a" w:space="0" w:sz="4" w:val="single"/>
          <w:left w:color="4a5f8a" w:space="0" w:sz="4" w:val="single"/>
          <w:bottom w:color="4a5f8a" w:space="0" w:sz="4" w:val="single"/>
          <w:right w:color="4a5f8a" w:space="0" w:sz="4" w:val="single"/>
          <w:insideH w:color="4a5f8a" w:space="0" w:sz="4" w:val="single"/>
          <w:insideV w:color="4a5f8a" w:space="0" w:sz="4" w:val="single"/>
        </w:tblBorders>
        <w:tblLayout w:type="fixed"/>
        <w:tblLook w:val="0600"/>
      </w:tblPr>
      <w:tblGrid>
        <w:gridCol w:w="3840"/>
        <w:gridCol w:w="1455"/>
        <w:gridCol w:w="1455"/>
        <w:gridCol w:w="1455"/>
        <w:gridCol w:w="1455"/>
        <w:tblGridChange w:id="0">
          <w:tblGrid>
            <w:gridCol w:w="3840"/>
            <w:gridCol w:w="1455"/>
            <w:gridCol w:w="1455"/>
            <w:gridCol w:w="1455"/>
            <w:gridCol w:w="145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e1e8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spacing w:before="280" w:line="240" w:lineRule="auto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Pagos Realizados en el Periodo</w:t>
            </w:r>
          </w:p>
        </w:tc>
        <w:tc>
          <w:tcPr>
            <w:gridSpan w:val="4"/>
            <w:vMerge w:val="restart"/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e1e8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1"/>
              <w:spacing w:before="0" w:line="240" w:lineRule="auto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Periodo Medio</w:t>
            </w:r>
          </w:p>
          <w:p w:rsidR="00000000" w:rsidDel="00000000" w:rsidP="00000000" w:rsidRDefault="00000000" w:rsidRPr="00000000" w14:paraId="00000008">
            <w:pPr>
              <w:widowControl w:val="1"/>
              <w:spacing w:before="0" w:line="240" w:lineRule="auto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Pago (PMP)</w:t>
            </w:r>
          </w:p>
          <w:p w:rsidR="00000000" w:rsidDel="00000000" w:rsidP="00000000" w:rsidRDefault="00000000" w:rsidRPr="00000000" w14:paraId="00000009">
            <w:pPr>
              <w:widowControl w:val="1"/>
              <w:spacing w:before="0" w:line="240" w:lineRule="auto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(días)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tcBorders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e1e8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spacing w:after="0" w:before="0" w:line="240" w:lineRule="auto"/>
              <w:ind w:left="0" w:firstLine="0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e1e8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1"/>
              <w:spacing w:before="0" w:line="240" w:lineRule="auto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PRIMER TRIMESTRE</w:t>
            </w:r>
          </w:p>
          <w:p w:rsidR="00000000" w:rsidDel="00000000" w:rsidP="00000000" w:rsidRDefault="00000000" w:rsidRPr="00000000" w14:paraId="00000014">
            <w:pPr>
              <w:widowControl w:val="1"/>
              <w:spacing w:before="0" w:line="240" w:lineRule="auto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(Q1)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e1e8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1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SEGUNDO TRIMESTRE</w:t>
            </w:r>
          </w:p>
          <w:p w:rsidR="00000000" w:rsidDel="00000000" w:rsidP="00000000" w:rsidRDefault="00000000" w:rsidRPr="00000000" w14:paraId="00000016">
            <w:pPr>
              <w:widowControl w:val="1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(Q2)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e1e8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1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TERCER TRIMESTRE</w:t>
            </w:r>
          </w:p>
          <w:p w:rsidR="00000000" w:rsidDel="00000000" w:rsidP="00000000" w:rsidRDefault="00000000" w:rsidRPr="00000000" w14:paraId="00000018">
            <w:pPr>
              <w:widowControl w:val="1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(Q3)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e1e8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1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CUARTO TRIMESTRE</w:t>
            </w:r>
          </w:p>
          <w:p w:rsidR="00000000" w:rsidDel="00000000" w:rsidP="00000000" w:rsidRDefault="00000000" w:rsidRPr="00000000" w14:paraId="0000001A">
            <w:pPr>
              <w:widowControl w:val="1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(Q4)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spacing w:before="0" w:line="240" w:lineRule="auto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Aprovisionamiento y otros gastos de explotación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2,19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2,24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2,32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3,99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spacing w:before="0" w:line="240" w:lineRule="auto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Adquisiciones de inmovilizado material e intangible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0,00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spacing w:before="0" w:line="240" w:lineRule="auto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 Sin desagregar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0,00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spacing w:before="0" w:line="240" w:lineRule="auto"/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  <w:rtl w:val="0"/>
              </w:rPr>
              <w:t xml:space="preserve">2,19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  <w:rtl w:val="0"/>
              </w:rPr>
              <w:t xml:space="preserve">2,24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  <w:rtl w:val="0"/>
              </w:rPr>
              <w:t xml:space="preserve">2,32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  <w:rtl w:val="0"/>
              </w:rPr>
              <w:t xml:space="preserve">3,99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160" w:line="360" w:lineRule="auto"/>
        <w:jc w:val="lef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16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60" w:line="360" w:lineRule="auto"/>
        <w:jc w:val="right"/>
        <w:rPr/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Actualizado: junio 2022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pgSz w:h="16838" w:w="11906" w:orient="portrait"/>
      <w:pgMar w:bottom="2061" w:top="2565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widowControl w:val="1"/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widowControl w:val="1"/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widowControl w:val="1"/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1"/>
      <w:widowControl w:val="1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keepNext w:val="1"/>
      <w:widowControl w:val="1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3B">
    <w:pPr>
      <w:keepNext w:val="1"/>
      <w:widowControl w:val="1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3C">
    <w:pPr>
      <w:keepNext w:val="1"/>
      <w:widowControl w:val="1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3D">
    <w:pPr>
      <w:keepNext w:val="1"/>
      <w:widowControl w:val="1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b w:val="1"/>
        <w:sz w:val="16"/>
        <w:szCs w:val="16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-54320</wp:posOffset>
          </wp:positionH>
          <wp:positionV relativeFrom="paragraph">
            <wp:posOffset>-166922</wp:posOffset>
          </wp:positionV>
          <wp:extent cx="1828800" cy="552298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