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before="28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GASTOS DE REPRESENTACIÓN ASIGNADOS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Entidad Pública Empresarial Local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Centros de Arte, Cultura y Turismo de Lanzarote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”,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no dispone de asignaciones o partidas 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conómicas referidas a gastos de representación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durante el año 2.022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ni hasta 30 de septiembre de 2023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1"/>
      <w:tabs>
        <w:tab w:val="center" w:leader="none" w:pos="4252"/>
        <w:tab w:val="left" w:leader="none" w:pos="6080"/>
        <w:tab w:val="right" w:leader="none" w:pos="8504"/>
      </w:tabs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3855085</wp:posOffset>
          </wp:positionH>
          <wp:positionV relativeFrom="paragraph">
            <wp:posOffset>133985</wp:posOffset>
          </wp:positionV>
          <wp:extent cx="1871980" cy="483235"/>
          <wp:effectExtent b="0" l="0" r="0" t="0"/>
          <wp:wrapSquare wrapText="bothSides" distB="57785" distT="57785" distL="57785" distR="57785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D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E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F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b w:val="1"/>
        <w:sz w:val="16"/>
        <w:szCs w:val="16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-186054</wp:posOffset>
          </wp:positionV>
          <wp:extent cx="1828800" cy="552450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4"/>
      <w:szCs w:val="24"/>
      <w:lang w:bidi="ar-SA" w:eastAsia="es-ES_tradnl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widowControl w:val="1"/>
      <w:pBdr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Noto Sans Devanagari"/>
    </w:rPr>
  </w:style>
  <w:style w:type="paragraph" w:styleId="Ttulogeneral">
    <w:name w:val="Title"/>
    <w:basedOn w:val="Normal"/>
    <w:next w:val="Normal"/>
    <w:uiPriority w:val="10"/>
    <w:qFormat w:val="1"/>
    <w:pPr>
      <w:keepNext w:val="1"/>
      <w:keepLines w:val="1"/>
      <w:widowControl w:val="1"/>
      <w:pBdr/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widowControl w:val="1"/>
      <w:pBdr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jQRRIkDlyzQ7VCybGolk6edFg==">CgMxLjA4AHIhMTB5bW5DRFJBMERLT0xjelFwWHM3ZUt0QkVmWTV2YklZ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