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65" w:line="360" w:lineRule="auto"/>
        <w:ind w:left="0" w:right="0" w:firstLine="0"/>
        <w:jc w:val="center"/>
        <w:rPr>
          <w:rFonts w:ascii="Montserrat" w:cs="Montserrat" w:eastAsia="Montserrat" w:hAnsi="Montserrat"/>
          <w:color w:val="1c1c1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4"/>
          <w:szCs w:val="24"/>
          <w:rtl w:val="0"/>
        </w:rPr>
        <w:t xml:space="preserve">REGISTRO DE ACTIVIDADES DE TRATAMIENTO DE DATOS PERSONALES</w:t>
      </w:r>
    </w:p>
    <w:p w:rsidR="00000000" w:rsidDel="00000000" w:rsidP="00000000" w:rsidRDefault="00000000" w:rsidRPr="00000000" w14:paraId="00000002">
      <w:pPr>
        <w:widowControl w:val="0"/>
        <w:ind w:left="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spacing w:before="175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RESPONSABLE:  </w:t>
      </w:r>
    </w:p>
    <w:p w:rsidR="00000000" w:rsidDel="00000000" w:rsidP="00000000" w:rsidRDefault="00000000" w:rsidRPr="00000000" w14:paraId="00000005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EPEL, CENTROS DE ARTE, CULTURA Y TURISMO DE LANZAROTE,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(en adelante ‘EPEL’).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before="175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DIRECCIÓN SOCIAL: 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Calle Triana, 38. CP 35500, Arrecife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before="145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DATOS DE CONTACTO: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right="0" w:firstLine="0"/>
        <w:jc w:val="both"/>
        <w:rPr>
          <w:rFonts w:ascii="Montserrat" w:cs="Montserrat" w:eastAsia="Montserrat" w:hAnsi="Montserrat"/>
          <w:color w:val="1c1c1b"/>
          <w:sz w:val="22"/>
          <w:szCs w:val="22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 ,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www.cactlanzarote.com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0" w:right="0" w:firstLine="0"/>
        <w:jc w:val="both"/>
        <w:rPr>
          <w:rFonts w:ascii="Montserrat" w:cs="Montserrat" w:eastAsia="Montserrat" w:hAnsi="Montserrat"/>
          <w:color w:val="1c1c1b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Ctra. San Bartolomé, 71 - </w:t>
      </w: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 CP 35500, Arrecife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1c1c1b"/>
          <w:sz w:val="22"/>
          <w:szCs w:val="22"/>
          <w:rtl w:val="0"/>
        </w:rPr>
        <w:t xml:space="preserve">928801500 - 901200300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rtl w:val="0"/>
        </w:rPr>
        <w:t xml:space="preserve">DATOS DE CONTACTOS DELEGADO DE PROTECCIÓN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lopd@centrosturisticos.com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  <w:sectPr>
          <w:headerReference r:id="rId9" w:type="default"/>
          <w:footerReference r:id="rId10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  <w:rtl w:val="0"/>
        </w:rPr>
        <w:t xml:space="preserve">ÍNDICE</w:t>
      </w:r>
    </w:p>
    <w:p w:rsidR="00000000" w:rsidDel="00000000" w:rsidP="00000000" w:rsidRDefault="00000000" w:rsidRPr="00000000" w14:paraId="00000010">
      <w:pPr>
        <w:widowControl w:val="0"/>
        <w:spacing w:after="200" w:line="36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1c1c1b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1">
          <w:pPr>
            <w:tabs>
              <w:tab w:val="right" w:leader="none" w:pos="9639.44881889764"/>
            </w:tabs>
            <w:spacing w:before="8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5q9rdz9mo5do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Actividad de promoción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_5q9rdz9mo5do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01aw961z8on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Solicitudes vía Web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_t01aw961z8on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ze1g0qlwrl1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3.- Envío Newsletter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_yze1g0qlwrl1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a29kvbfdnr3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4.- Seguimiento y control de presupuestos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_xa29kvbfdnr3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irkm8ri94x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5.- Gestión de reservas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_rirkm8ri94x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czmhghyf55w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6.- Venta On-line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_iczmhghyf55w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rs5x8nujqtz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7.- Control de calidad (Customer Experience)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_irs5x8nujqtz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kzkypfjsnm8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8.- Gestión Proveedores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_ekzkypfjsnm8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d2p7xkej31s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9.- Gestión Administrativa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_8d2p7xkej31s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ipzy4w48qcc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10.- Facturación, gestión contable y fiscal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_7ipzy4w48qcc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o8rz1agt94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11.- Gestión Recursos Humanos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_28o8rz1agt94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sz w:val="22"/>
              <w:szCs w:val="22"/>
            </w:rPr>
          </w:pPr>
          <w:hyperlink w:anchor="_gwe1a1nj53mc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12.- Videovigilancia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_gwe1a1nj53mc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sz w:val="22"/>
              <w:szCs w:val="22"/>
            </w:rPr>
          </w:pPr>
          <w:hyperlink w:anchor="_7kahfjm20jeh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13.- Gestión y Notificación de brechas Seguridad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_7kahfjm20jeh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sz w:val="22"/>
              <w:szCs w:val="22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leader="none" w:pos="9639.44881889764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hrbvpovo6yq"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14.- Atención de los derechos de los Usuarios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_yhrbvpovo6yq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leader="none" w:pos="9639.44881889764"/>
            </w:tabs>
            <w:spacing w:after="80"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8ijnr6rqfh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15.- Acuerdos Comercializadores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_468ijnr6rqfh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  <w:color w:val="1c1c1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1c1c1b"/>
          <w:sz w:val="22"/>
          <w:szCs w:val="22"/>
        </w:rPr>
        <w:sectPr>
          <w:type w:val="nextPage"/>
          <w:pgSz w:h="16838" w:w="11906" w:orient="portrait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widowControl w:val="0"/>
        <w:spacing w:before="316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5q9rdz9mo5do" w:id="0"/>
      <w:bookmarkEnd w:id="0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1.- Actividad de promoción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50"/>
        <w:tblGridChange w:id="0">
          <w:tblGrid>
            <w:gridCol w:w="2310"/>
            <w:gridCol w:w="7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Celebración de sorteos y concursos convocados por la EPEL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Inscripción en actividades de la EPEL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Envío de información promocional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las convocatorias de eventos y sorteos. Personas interesadas en las actividades e información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dirección postal, teléfono, sector de actividad, nombre en redes sociales.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sorteos: fotografía en su caso.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Participantes en las convocatorias de sorteos y eventos: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nombres y apellidos de los ganadores serán publicados conforme al interés legítimo en mostrar la transparencia y fiabilidad de las actividades de promoción, y estarán accesibles a través de la Web y redes sociales de la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after="0" w:after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participantes en sorteos serán conservados durante la tramitación del procedimiento de concesión del premio.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interesadas en la recepción de información promocional, se mantendrán en el sistema de forma indefinida en tanto el interesado no solicite su supresión.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inscritas en actividades generales serán suprimidos cuando éstas hayan finalizado.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8"/>
              </w:numPr>
              <w:spacing w:before="0" w:beforeAutospacing="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inscritas en actividades dirigidas a sectores de actividad o profesionales determinados se mantendrán en el sistema de forma indefinida en tanto el interesado no solicite su supresión.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" w:line="360" w:lineRule="auto"/>
              <w:ind w:left="720" w:right="148.937007874016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" w:line="360" w:lineRule="auto"/>
        <w:ind w:left="0" w:right="148.937007874016" w:firstLine="0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t01aw961z8on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2.- Solicitudes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vía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Web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Atención de solicitudes de información y generales recibidas a través de las páginas Web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Visitantes y Usuarios o personas interesadas en las actividades e información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Cualquier información adicional que el interesado voluntariamente incluya en los campos ‘Asunto’ o ‘Mensaje’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solo se comunicará internamente, a cada departamento competente para atender la solicitud.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solicitantes de información serán eliminados una vez finalice la tramitación de su solicitud.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widowControl w:val="0"/>
        <w:spacing w:before="14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yze1g0qlwrl1" w:id="2"/>
      <w:bookmarkEnd w:id="2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3.- Envío Newsletter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Envío de información de tipo promocional a través de email.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Personas que han manifestado su interés en recibir información sobre las actividades y eventos de EPEL.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Mailchimp,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indicadas en la política de privacidad del proveedor del servicio: </w:t>
            </w: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4"/>
                  <w:szCs w:val="14"/>
                  <w:u w:val="single"/>
                  <w:rtl w:val="0"/>
                </w:rPr>
                <w:t xml:space="preserve">https://mailchimp.com/es/help/about-mailchimp-the-eu-swiss-privacy-shield-and-the-gdpr/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personas interesadas en la recepción de información promocional, se mantendrán en el sistema de forma indefinida en tanto el interesado no solicite su supresión.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5E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kgr80h1tn02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xa29kvbfdnr3" w:id="4"/>
      <w:bookmarkEnd w:id="4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4.- Seguimiento y control de presupuestos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7365"/>
        <w:tblGridChange w:id="0">
          <w:tblGrid>
            <w:gridCol w:w="2310"/>
            <w:gridCol w:w="73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Confección y seguimiento de propuestas personalizadas para la celebración de eventos y actividades en los Centros de Arte, Cultura y Turismo de Lanzarote (en lo sucesivo ‘CACT’).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Personas que han solicitado un presupuesto para realizar un evento o celebrar una actividad en alguno de los CACT.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dirección postal, firma, teléfono, sector de actividad.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Datos bancarios en caso de confirmación de la reserva.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ajenos a la celebración de los eventos.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los presupuestos serán conservados mientras se gestiona el servicio, pasando en caso de aceptación a formar parte de las Actividades de Tratamiento: ‘Gestión Administrativa’ y ‘Gestión Fiscal y Contable’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rirkm8ri94x" w:id="5"/>
      <w:bookmarkEnd w:id="5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5.- Gestión de reservas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40"/>
        <w:gridCol w:w="7335"/>
        <w:tblGridChange w:id="0">
          <w:tblGrid>
            <w:gridCol w:w="2340"/>
            <w:gridCol w:w="73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las reservas realizadas a través de la web.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Usuarios de las páginas Web que han realizado una reserva para algún restaurante o evento.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Turitop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 gestión de reservas serán conservados mientras se gestiona el servicio.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before="9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widowControl w:val="0"/>
        <w:spacing w:before="2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iczmhghyf55w" w:id="6"/>
      <w:bookmarkEnd w:id="6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6.- Venta On-line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las reservas con pago de mesas o eventos realizadas a través de la web.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212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Usuarios de las páginas Web que han realizado una compra para algún restaurante o evento.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253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teléfono, datos de la tarjeta bancaria.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 los proveedores del servicio Turitop y PayPal, que a estos efectos tendrán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indicada en la política de privacidad del proveedor del servicio:</w:t>
            </w: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https://www.paypal.com/es/webapps/mpp/paypal-and-your-data.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187"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ventas on line serán conservados mientras se gestiona el servicio, pasando posteriormente a formar parte de la Actividad de Tratamiento: ‘Gestión Fiscal y Contable’.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ind w:left="0" w:right="148.937007874016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93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boqws5c02jk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irs5x8nujqtz" w:id="8"/>
      <w:bookmarkEnd w:id="8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7.- Control de calidad (Customer Experience)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Control de la Calidad de los servicios prestados.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Visitantes de los centros o usuarios de la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será gestionada a través del proveedor del servicio Sogosurvey que a estos efectos tendrá la consideración de Encargado del Tratamiento.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indicada en la política de privacidad del proveedor del servicio: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https://www.sogosurvey.com/survey-privacy/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relativos a las encuestas de satisfacción serán conservados durante 4 años, procediendo posteriormente a su eliminación.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bookmarkStart w:colFirst="0" w:colLast="0" w:name="_8qp27dt937n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ekzkypfjsnm8" w:id="10"/>
      <w:bookmarkEnd w:id="10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.- Gestión Proveedores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realizada para la licitación y posterior contratación de bienes o servicios.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Proveedores que licitan las convocatorias.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solvencia técnica y/o económica, firma, datos bancarios.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de las licitaciones activas serán conservados mientras se gestiona dicha contratación, pasando posteriormente a formar parte de las Actividades de Tratamiento: ‘Gestión Administrativa’ y/o ‘Gestión Fiscal y Contable’.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II (Medidas de seguridad) del Real Decreto 3/2010, de 8 de enero, por el que se regula el Esquema Nacional de Seguridad en el ámbito de la Administración Electrónica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3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540" w:top="1660" w:left="1133.8582677165355" w:right="1132.2047244094488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8d2p7xkej31s" w:id="11"/>
      <w:bookmarkEnd w:id="11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.- Gestión Administrativa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administrativa en general que implica cobros y pagos, así como solicitudes de servicios a los proveedores y soporte al resto de departamentos de la Entidad.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clientes potenciales que solicitan presupuestos y personas de contacto.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entidades bancarias para la gestión de cobros/pagos.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el interesado a que haga referencia mantenga la relación sobre la que se ha legitimado el tratamiento con la EPEL, eliminados cuando hayan prescrito las posibles responsabilidades derivadas de tal relación.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line="360" w:lineRule="auto"/>
        <w:ind w:right="148.93700787401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0"/>
          <w:szCs w:val="20"/>
        </w:rPr>
        <w:sectPr>
          <w:type w:val="nextPage"/>
          <w:pgSz w:h="16838" w:w="11906" w:orient="portrait"/>
          <w:pgMar w:bottom="154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widowControl w:val="0"/>
        <w:spacing w:before="1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7ipzy4w48qcc" w:id="12"/>
      <w:bookmarkEnd w:id="12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10.- Facturación, gestión contable y fiscal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Realización de facturas a cliente, confección de la contabilidad oficial y cálculo, presentación y liquidación de impuestos, elaboración de documentos mercantiles, como balances y memorias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clientes, visitantes.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entidades bancarias para la gestión de cobros/pagos.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durante el plazo necesario para cada finalidad descrita, (p. ej: seis años a efectos contables y mercantiles) así como mientras duren las posibles responsabilidades derivadas de ella.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D9">
      <w:pPr>
        <w:widowControl w:val="0"/>
        <w:spacing w:line="360" w:lineRule="auto"/>
        <w:ind w:right="148.9370078740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widowControl w:val="0"/>
        <w:spacing w:before="132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28o8rz1agt94" w:id="13"/>
      <w:bookmarkEnd w:id="13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11.- Gestión Recursos Humanos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Selección de personal, formación, confección y envío de nóminas, y otros documentos necesarios para la relación laboral.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participantes en procesos de selección.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datos de las titulaciones y experiencia laboral, datos bancarios, número de la seguridad social, porcentaje de minusvalía en su caso.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obligación legal (AEAT y TGSS) y la necesaria para el pago de nóminas a las entidades bancarias.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el interesado mantenga la relación laboral con la EPEL, eliminados cuando hayan prescrito las posibles responsabilidades derivadas de tal relación.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EC">
      <w:pPr>
        <w:widowControl w:val="0"/>
        <w:spacing w:after="1"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widowControl w:val="0"/>
        <w:spacing w:before="132" w:line="360" w:lineRule="auto"/>
        <w:ind w:right="148.937007874016"/>
        <w:rPr/>
      </w:pPr>
      <w:bookmarkStart w:colFirst="0" w:colLast="0" w:name="_gwe1a1nj53mc" w:id="14"/>
      <w:bookmarkEnd w:id="14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12.- Videovigilancia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Control de las instalaciones mediante un sistema de cámaras. Aclaración de situaciones contractuales y laborales que requieran averiguación.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Imagen.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caso necesario a las Fuerzas y Cuerpos de Seguridad del Estado.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imágenes serán conservadas durante un mes.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spacing w:after="1"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1"/>
        <w:widowControl w:val="0"/>
        <w:spacing w:before="232" w:line="360" w:lineRule="auto"/>
        <w:ind w:right="148.937007874016"/>
        <w:rPr>
          <w:rFonts w:ascii="Montserrat" w:cs="Montserrat" w:eastAsia="Montserrat" w:hAnsi="Montserrat"/>
          <w:sz w:val="22"/>
          <w:szCs w:val="22"/>
        </w:rPr>
      </w:pPr>
      <w:bookmarkStart w:colFirst="0" w:colLast="0" w:name="_7kahfjm20jeh" w:id="15"/>
      <w:bookmarkEnd w:id="15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13.- Gestión y Notificación de brechas Seguridad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Notificar a la Autoridad de control y en su caso a los interesados las violaciones de seguridad que puedan afectar a sus derechos y libertades.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clientes, usuarios de la web o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a la Agencia Española de Protección de Datos y en caso necesario a las Fuerzas y Cuerpos de Seguridad del Estado.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se gestiona y resuelve la vulnerabilidad que se haya detectado, eliminando posteriormente.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after="1" w:before="10"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before="11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yhrbvpovo6yq" w:id="16"/>
      <w:bookmarkEnd w:id="16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14.- Atención de los derechos de los Usuarios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Atender las solicitudes de ejercicios de derechos relacionados con los datos personales.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Personal, proveedores, visitantes, clientes, usuarios de la web o app.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teléfono, número de identificación (Pasaporte o NIF).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 información no será comunicada a terceros, salvo en su caso a la Agencia Española de Protección de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 datos personales serán conservados mientras se gestiona y resuelve la solicitud de ejercicio de derechos relativa a la protección de datos, eliminándo posteriormente.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spacing w:before="10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  <w:sectPr>
          <w:type w:val="nextPage"/>
          <w:pgSz w:h="16838" w:w="11906" w:orient="portrait"/>
          <w:pgMar w:bottom="1620" w:top="1660" w:left="1020" w:right="1020" w:header="467" w:footer="13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widowControl w:val="0"/>
        <w:spacing w:before="143" w:line="360" w:lineRule="auto"/>
        <w:ind w:right="148.937007874016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468ijnr6rqfh" w:id="17"/>
      <w:bookmarkEnd w:id="17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15.- Acuerdos Comercializadores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55"/>
        <w:gridCol w:w="7320"/>
        <w:tblGridChange w:id="0">
          <w:tblGrid>
            <w:gridCol w:w="2355"/>
            <w:gridCol w:w="73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Fines del tratamiento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3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Gestión de venta de entradas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before="212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 Interesados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6"/>
              </w:numPr>
              <w:spacing w:before="160"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Clientes.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before="253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Categorías de Datos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7"/>
              </w:numPr>
              <w:spacing w:line="360" w:lineRule="auto"/>
              <w:ind w:left="425.19685039370046" w:right="148.937007874016" w:hanging="283.4645669291333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apellidos, dirección de correo electrónico, localidad, país, edad, teléfono, datos de la tarjeta bancaria.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Categoría destinatarios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entidades encargadas de gestionar la venta de entradas, que tratarán los datos en calidad de encargados conforme se regula en el artículo 28 del RGPD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before="187"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Plazo 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Mientras dure el tratamiento y conforme a los plazos legales de conservación.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ind w:right="148.937007874016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4"/>
              </w:numPr>
              <w:spacing w:line="360" w:lineRule="auto"/>
              <w:ind w:left="420" w:right="148.937007874016" w:hanging="285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 datos y seguridad de la información de la EPEL.</w:t>
            </w:r>
          </w:p>
        </w:tc>
      </w:tr>
    </w:tbl>
    <w:p w:rsidR="00000000" w:rsidDel="00000000" w:rsidP="00000000" w:rsidRDefault="00000000" w:rsidRPr="00000000" w14:paraId="00000131">
      <w:pPr>
        <w:widowControl w:val="0"/>
        <w:spacing w:before="10" w:line="360" w:lineRule="auto"/>
        <w:ind w:right="148.937007874016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before="3"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line="360" w:lineRule="auto"/>
        <w:ind w:left="0" w:right="148.937007874016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280" w:line="360" w:lineRule="auto"/>
        <w:ind w:left="0" w:right="148.937007874016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after="200" w:before="160" w:line="360" w:lineRule="auto"/>
        <w:ind w:left="0" w:right="148.937007874016" w:firstLine="0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620" w:top="1660" w:left="1020" w:right="1020" w:header="467" w:footer="13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2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43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44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45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3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1.7322834645671" w:firstLine="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20" w:hanging="285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ilchimp.com/es/help/about-mailchimp-the-eu-swiss-privacy-shield-and-the-gdpr/" TargetMode="External"/><Relationship Id="rId10" Type="http://schemas.openxmlformats.org/officeDocument/2006/relationships/footer" Target="footer1.xml"/><Relationship Id="rId13" Type="http://schemas.openxmlformats.org/officeDocument/2006/relationships/hyperlink" Target="https://www.sogosurvey.com/survey-privacy/" TargetMode="External"/><Relationship Id="rId12" Type="http://schemas.openxmlformats.org/officeDocument/2006/relationships/hyperlink" Target="https://www.paypal.com/es/webapps/mpp/paypal-and-your-data.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entrosturisticos.com" TargetMode="External"/><Relationship Id="rId7" Type="http://schemas.openxmlformats.org/officeDocument/2006/relationships/hyperlink" Target="http://www.cactlanzarote.com" TargetMode="External"/><Relationship Id="rId8" Type="http://schemas.openxmlformats.org/officeDocument/2006/relationships/hyperlink" Target="mailto:lopd@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