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widowControl w:val="0"/>
        <w:spacing w:before="160" w:line="360" w:lineRule="auto"/>
        <w:ind w:left="0" w:right="0" w:firstLine="0"/>
        <w:jc w:val="center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CONTRATOS FORMALIZADOS</w:t>
      </w:r>
    </w:p>
    <w:p w:rsidR="00000000" w:rsidDel="00000000" w:rsidP="00000000" w:rsidRDefault="00000000" w:rsidRPr="00000000" w14:paraId="00000002">
      <w:pPr>
        <w:pageBreakBefore w:val="0"/>
        <w:widowControl w:val="0"/>
        <w:spacing w:before="160" w:line="360" w:lineRule="auto"/>
        <w:ind w:left="0" w:right="0" w:firstLine="0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DENOMINACIÓN Y OBJETO; DURACIÓN, IMPORTE DE LICITACIÓN Y DE ADJUDICACIÓN, PROCEDIMIENTO UTILIZADO, INSTRUMENTOS A TRAVÉS DE LOS QUE, EN SU CASO, SE HAYA PUBLICITADO; NÚMERO DE LICITADORES/RAS PARTICIPANTES EN EL PROCEDIMIENTOS E IDENTIDAD DE LAS PERSONAS O ENTIDADES A LAS QUE SE ADJUDICA EL CONTRATO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En las tablas expuestas en el presente se muestra la relación de contratos formalizados en el año 2022 según los procedimientos utilizados </w:t>
      </w:r>
      <w:r w:rsidDel="00000000" w:rsidR="00000000" w:rsidRPr="00000000">
        <w:rPr>
          <w:rFonts w:ascii="Montserrat" w:cs="Montserrat" w:eastAsia="Montserrat" w:hAnsi="Montserrat"/>
          <w:sz w:val="22"/>
          <w:szCs w:val="22"/>
          <w:highlight w:val="white"/>
          <w:rtl w:val="0"/>
        </w:rPr>
        <w:t xml:space="preserve">por parte de la Entidad Pública Empresarial Local “Centros de Arte, Cultura y Turismo de Lanzarote”.</w:t>
      </w:r>
    </w:p>
    <w:p w:rsidR="00000000" w:rsidDel="00000000" w:rsidP="00000000" w:rsidRDefault="00000000" w:rsidRPr="00000000" w14:paraId="00000004">
      <w:pPr>
        <w:spacing w:after="280"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Los contratos formalizados en el año 2022 por parte de la Entidad Pública Empresarial Local “Centros de Arte, Cultura y Turismo de Lanzarote” se han publicado en el apartado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Perfil del Contratante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de nuestra web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www.centrosturisticos.com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con enlace a publicación en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sz w:val="22"/>
            <w:szCs w:val="22"/>
            <w:u w:val="single"/>
            <w:rtl w:val="0"/>
          </w:rPr>
          <w:t xml:space="preserve">Plataforma de Contratación del Sector Público</w:t>
        </w:r>
      </w:hyperlink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 (PLACE) dentro de cada licitación en el año correspondiente a su convocatoria.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360" w:lineRule="auto"/>
        <w:jc w:val="both"/>
        <w:rPr>
          <w:rFonts w:ascii="Montserrat" w:cs="Montserrat" w:eastAsia="Montserrat" w:hAnsi="Montserrat"/>
          <w:sz w:val="22"/>
          <w:szCs w:val="22"/>
        </w:rPr>
      </w:pPr>
      <w:r w:rsidDel="00000000" w:rsidR="00000000" w:rsidRPr="00000000">
        <w:rPr>
          <w:rFonts w:ascii="Montserrat" w:cs="Montserrat" w:eastAsia="Montserrat" w:hAnsi="Montserrat"/>
          <w:sz w:val="22"/>
          <w:szCs w:val="22"/>
          <w:rtl w:val="0"/>
        </w:rPr>
        <w:t xml:space="preserve">A modo de resumen anual:</w:t>
      </w:r>
    </w:p>
    <w:tbl>
      <w:tblPr>
        <w:tblStyle w:val="Table1"/>
        <w:tblW w:w="7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2091.141732283465"/>
        <w:gridCol w:w="1583.858267716535"/>
        <w:gridCol w:w="1710"/>
        <w:gridCol w:w="1875"/>
        <w:tblGridChange w:id="0">
          <w:tblGrid>
            <w:gridCol w:w="2091.141732283465"/>
            <w:gridCol w:w="1583.858267716535"/>
            <w:gridCol w:w="1710"/>
            <w:gridCol w:w="187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36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AÑO 2022 - CONTRATOS FORMALIZADOS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TIPO DE PROCEDIMIENTO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Nº DE CONTRATOS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IMPORTE DE LICITACIÓN (sin IGIC)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IMPORTE DE ADJUDICACIÓN (sin IGIC)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173441957287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ABIERTO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5.099.776,37 €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4.289.037,40 €</w:t>
            </w:r>
          </w:p>
        </w:tc>
      </w:tr>
      <w:tr>
        <w:trPr>
          <w:cantSplit w:val="0"/>
          <w:trHeight w:val="655.093116085425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ABIERTO SIMPLIFICADO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154.999,00 €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147.470,00 €</w:t>
            </w:r>
          </w:p>
        </w:tc>
      </w:tr>
      <w:tr>
        <w:trPr>
          <w:cantSplit w:val="0"/>
          <w:trHeight w:val="458.173441957287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NEGOCIADO sin publicidad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106.000,00 €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106.000,00 €</w:t>
            </w:r>
          </w:p>
        </w:tc>
      </w:tr>
      <w:tr>
        <w:trPr>
          <w:cantSplit w:val="0"/>
          <w:trHeight w:val="458.173441957287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DIRECTO (adenda)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268.400,00 €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Montserrat" w:cs="Montserrat" w:eastAsia="Montserrat" w:hAnsi="Montserrat"/>
                <w:sz w:val="18"/>
                <w:szCs w:val="18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8"/>
                <w:szCs w:val="18"/>
                <w:rtl w:val="0"/>
              </w:rPr>
              <w:t xml:space="preserve">268.400,00 €</w:t>
            </w:r>
          </w:p>
        </w:tc>
      </w:tr>
      <w:tr>
        <w:trPr>
          <w:cantSplit w:val="0"/>
          <w:trHeight w:val="458.173441957287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5.629.175,37 €</w:t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rFonts w:ascii="Montserrat" w:cs="Montserrat" w:eastAsia="Montserrat" w:hAnsi="Montserrat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20"/>
                <w:szCs w:val="20"/>
                <w:rtl w:val="0"/>
              </w:rPr>
              <w:t xml:space="preserve">4.810.907,40 €</w:t>
            </w:r>
          </w:p>
        </w:tc>
      </w:tr>
    </w:tbl>
    <w:p w:rsidR="00000000" w:rsidDel="00000000" w:rsidP="00000000" w:rsidRDefault="00000000" w:rsidRPr="00000000" w14:paraId="00000022">
      <w:pPr>
        <w:spacing w:before="280" w:line="360" w:lineRule="auto"/>
        <w:jc w:val="both"/>
        <w:rPr>
          <w:rFonts w:ascii="Montserrat" w:cs="Montserrat" w:eastAsia="Montserrat" w:hAnsi="Montserrat"/>
          <w:sz w:val="22"/>
          <w:szCs w:val="22"/>
          <w:highlight w:val="white"/>
        </w:rPr>
        <w:sectPr>
          <w:headerReference r:id="rId9" w:type="default"/>
          <w:headerReference r:id="rId10" w:type="first"/>
          <w:footerReference r:id="rId11" w:type="default"/>
          <w:footerReference r:id="rId12" w:type="first"/>
          <w:pgSz w:h="16838" w:w="11906" w:orient="portrait"/>
          <w:pgMar w:bottom="1403.5039370078755" w:top="1559.0551181102362" w:left="1133.858267716535" w:right="1132.2047244094488" w:header="136.06299212598427" w:footer="570.0000000000041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565.0" w:type="dxa"/>
        <w:jc w:val="left"/>
        <w:tblLayout w:type="fixed"/>
        <w:tblLook w:val="0600"/>
      </w:tblPr>
      <w:tblGrid>
        <w:gridCol w:w="1380"/>
        <w:gridCol w:w="1035"/>
        <w:gridCol w:w="1035"/>
        <w:gridCol w:w="5385"/>
        <w:gridCol w:w="1980"/>
        <w:gridCol w:w="1125"/>
        <w:gridCol w:w="1320"/>
        <w:gridCol w:w="1305"/>
        <w:tblGridChange w:id="0">
          <w:tblGrid>
            <w:gridCol w:w="1380"/>
            <w:gridCol w:w="1035"/>
            <w:gridCol w:w="1035"/>
            <w:gridCol w:w="5385"/>
            <w:gridCol w:w="1980"/>
            <w:gridCol w:w="1125"/>
            <w:gridCol w:w="1320"/>
            <w:gridCol w:w="1305"/>
          </w:tblGrid>
        </w:tblGridChange>
      </w:tblGrid>
      <w:tr>
        <w:trPr>
          <w:cantSplit w:val="0"/>
          <w:trHeight w:val="1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PROCEDIMIENTO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N.º EXPEDIENTE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TIPO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DE CONTRATO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76" w:lineRule="auto"/>
              <w:ind w:firstLine="0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DENOMINACIÓN Y OBJETO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NOMBRE DEL ADJUDICATARIO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N.º 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z w:val="14"/>
                <w:szCs w:val="14"/>
                <w:rtl w:val="0"/>
              </w:rPr>
              <w:t xml:space="preserve">LICITADORES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IMPORTE DE LICITACIÓN (sin IGIC y otros impuestos indirectos)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8093b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4"/>
                <w:szCs w:val="14"/>
                <w:rtl w:val="0"/>
              </w:rPr>
              <w:t xml:space="preserve">IMPORTE DE ADJUDICACIÓN(sin IGIC y otros impuestos indirectos)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982/2021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asesoramiento jurídico laboral y litigioso de EPEL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Aguilar y Losada SLP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147.000,00 €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147.000,00 €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1002/2021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equipamiento tecnológico, hardware, software, diseño y producción de material no digital, digital e interactivos de la Casa de los Volcanes de Jameos del Agua de EPEL-CACT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Playmedia Motion Graphics,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line="276" w:lineRule="auto"/>
              <w:ind w:left="0" w:right="-15.590551181102228" w:firstLine="0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1.896.800,00 €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1.467.614,40 €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6/2022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control de aves para Jameos del Agua, Cueva de los Verdes y Jardín del Cactus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Avex Control SRL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14.354,17 €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10.680,00 €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27/2022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 de seis guaguas ecoeficientes para EPEL-CACT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Evobus Ibérica, 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1.800.000,00 €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1.466.700,00 €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631/2022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 de grupo electrógeno auxiliar para Montañas de Fuego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Sonepar Ibérica Spain SAU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28.999,00 €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28.999,00 €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634/2022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desinfección, desinsectación, desratización y control de carcoma de las oficinas y las diferentes instalaciones adscritas a los CACT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Guerra y Fernández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9.000,00 €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7.452,00 €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677/2022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ejecución del Plan de Formación de EPEL-CACT 2022-23 (Lote 1, Lote 2, Lote 5 y Lote 6)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FOCAN SL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60.000,00 €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60.000,00 €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ejecución del Plan de Formación de EPEL-CACT 2022-23 (Lote 3, Lote 4, Lote 7)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ESFORTEM LANZAROTE SL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120.000,00 €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120.000,00 €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717/2022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 de siete vehículos cero emisiones para los CACT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Juan Antonio Rivera 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275.650,00 €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275.650,00 €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824/2022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alquiler, instalación, ejecución de infraestructuras y asistencia técnica de profesionales. 33ª Feria de Artesanía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Preventos Media 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119.210,00 €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119.210,00 €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832/2022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Obra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Obra de instalación eléctrica temporal en baja tensión para dotar de suministro eléctrico a las instalaciones de la 33ª Feria de Artesanía de Lanzarote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Instaladora Leyce 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30.631,20 €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23.000,00 €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1045/2022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limpieza e higienización periódica de las campanas, conductos y extractores existentes en las cocinas de los CACT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Jacobo Figueras Hernández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26.000,00 €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26.600,00 €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1127/2022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 de dos guaguas híbridas PMR para la Ruta de los Volcanes en el Parque Nacional del Timanfaya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Evobus Ibérica 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550.000,00 €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514.000,00 €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1135/2022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mantenimiento preventivo de las instalaciones térmicas y frigoríficas de los distintos inmuebles adscritos a los CACT (Lote 1)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Grado Instalaciones 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A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14.696,00 €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14.696,00 €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mantenimiento preventivo de las instalaciones térmicas y frigoríficas de los distintos inmuebles adscritos a los CACT (Lote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Eiffage Energía SLU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7.436,00 €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7.436,00 €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Total Abierto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5.099.776,37 €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4.289.037,40 €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Abierto simplificado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31/2022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Obra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Obras de sustitución de tubos geiser en las Montañas del Fuego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Perforaciones y sondeos la cañada 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60.000,00 €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58.000,00 €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199/2022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 de grupo electrógeno para Montañas del Fuego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Sonepar Ibérica Spain SAU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35.000,00 €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29.900,00 €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891/2022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Servicio de iluminación, sonido e infraestructura del 32ª Festival Nanino Díaz Cutillas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Preventos Media 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59.999,00 €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59.570,00 €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Total Abierto simplificado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154.999,00 €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147.470,00 €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Negociado sin publicidad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1025/2022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Edición y suministro de 1.000 ejemplares de la publicación “La obra de César Manrique en Haría”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Galante Naranjo 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50.000,00 €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50.000,00 €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1268/2022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Patrocinio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Patrocinio del Ciclo de Conciertos Arrecife de las Músicas 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DD &amp; Company Producciones 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56.000,00 €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56.000,00 €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Total Negociado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106.000,00 €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106.000,00 €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0.0" w:type="dxa"/>
              <w:bottom w:w="4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spacing w:line="276" w:lineRule="auto"/>
              <w:ind w:left="-14580" w:right="-14580" w:firstLine="0"/>
              <w:jc w:val="center"/>
              <w:rPr>
                <w:rFonts w:ascii="Montserrat" w:cs="Montserrat" w:eastAsia="Montserrat" w:hAnsi="Montserrat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1152/2022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Suministro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7" w:val="single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widowControl w:val="0"/>
              <w:spacing w:line="276" w:lineRule="auto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ADENDA</w:t>
            </w: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a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 exp 1002/2021</w:t>
            </w: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 Suministro equipamiento tecnológico, hardware, software, diseño y producción de material no digital e interactivos para la Casa de los Volcanes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ffffff" w:space="0" w:sz="7" w:val="single"/>
            </w:tcBorders>
            <w:shd w:fill="f4f6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spacing w:line="276" w:lineRule="auto"/>
              <w:jc w:val="center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268.400,00 €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spacing w:line="276" w:lineRule="auto"/>
              <w:jc w:val="right"/>
              <w:rPr>
                <w:rFonts w:ascii="Montserrat" w:cs="Montserrat" w:eastAsia="Montserrat" w:hAnsi="Montserrat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268.400,00 €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Total Directo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268.400,00 €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ffffff" w:space="0" w:sz="18" w:val="single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sz w:val="16"/>
                <w:szCs w:val="16"/>
                <w:rtl w:val="0"/>
              </w:rPr>
              <w:t xml:space="preserve">268.400,00 €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Suma 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spacing w:line="276" w:lineRule="auto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spacing w:line="276" w:lineRule="auto"/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5.629.175,37 €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fe4ec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spacing w:line="276" w:lineRule="auto"/>
              <w:jc w:val="righ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6"/>
                <w:szCs w:val="16"/>
                <w:rtl w:val="0"/>
              </w:rPr>
              <w:t xml:space="preserve">4.810.907,40 €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4">
      <w:pPr>
        <w:spacing w:before="280" w:line="360" w:lineRule="auto"/>
        <w:jc w:val="both"/>
        <w:rPr>
          <w:rFonts w:ascii="Montserrat" w:cs="Montserrat" w:eastAsia="Montserrat" w:hAnsi="Montserrat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widowControl w:val="0"/>
        <w:spacing w:after="200" w:before="160" w:line="360" w:lineRule="auto"/>
        <w:jc w:val="right"/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type w:val="nextPage"/>
      <w:pgSz w:h="11906" w:w="16838" w:orient="landscape"/>
      <w:pgMar w:bottom="1403.5039370078755" w:top="1559.0551181102362" w:left="1133.858267716535" w:right="1132.2047244094488" w:header="136.06299212598427" w:footer="570.000000000004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Arial"/>
  <w:font w:name="Verdana"/>
  <w:font w:name="Times New Roman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4">
    <w:pPr>
      <w:widowControl w:val="0"/>
      <w:tabs>
        <w:tab w:val="center" w:leader="none" w:pos="4819"/>
        <w:tab w:val="right" w:leader="none" w:pos="9638"/>
      </w:tabs>
      <w:jc w:val="center"/>
      <w:rPr>
        <w:rFonts w:ascii="Montserrat" w:cs="Montserrat" w:eastAsia="Montserrat" w:hAnsi="Montserrat"/>
        <w:b w:val="1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5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6">
    <w:pPr>
      <w:keepNext w:val="1"/>
      <w:pageBreakBefore w:val="0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7">
    <w:pPr>
      <w:keepNext w:val="1"/>
      <w:pageBreakBefore w:val="0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18">
    <w:pPr>
      <w:keepNext w:val="1"/>
      <w:pageBreakBefore w:val="0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19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1A">
    <w:pPr>
      <w:keepNext w:val="1"/>
      <w:pageBreakBefore w:val="0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2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color w:val="00000a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4">
    <w:pPr>
      <w:keepNext w:val="1"/>
      <w:tabs>
        <w:tab w:val="center" w:leader="none" w:pos="4252"/>
        <w:tab w:val="right" w:leader="none" w:pos="9066.1417322834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4159700</wp:posOffset>
          </wp:positionH>
          <wp:positionV relativeFrom="paragraph">
            <wp:posOffset>114750</wp:posOffset>
          </wp:positionV>
          <wp:extent cx="1872000" cy="483212"/>
          <wp:effectExtent b="0" l="0" r="0" t="0"/>
          <wp:wrapSquare wrapText="bothSides" distB="57600" distT="57600" distL="57600" distR="576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5">
    <w:pPr>
      <w:keepNext w:val="1"/>
      <w:tabs>
        <w:tab w:val="center" w:leader="none" w:pos="4252"/>
        <w:tab w:val="right" w:leader="none" w:pos="9066.141732283466"/>
      </w:tabs>
      <w:ind w:left="70.86614173228341" w:firstLine="4.13385826771659"/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26">
    <w:pPr>
      <w:keepNext w:val="1"/>
      <w:tabs>
        <w:tab w:val="center" w:leader="none" w:pos="4252"/>
        <w:tab w:val="right" w:leader="none" w:pos="8505"/>
      </w:tabs>
      <w:ind w:left="70.86614173228341" w:firstLine="4.13385826771659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27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28">
    <w:pPr>
      <w:keepNext w:val="1"/>
      <w:tabs>
        <w:tab w:val="center" w:leader="none" w:pos="4252"/>
        <w:tab w:val="right" w:leader="none" w:pos="8504"/>
      </w:tabs>
      <w:ind w:left="283.4645669291339" w:hanging="208.46456692913392"/>
      <w:rPr>
        <w:rFonts w:ascii="Times New Roman" w:cs="Times New Roman" w:eastAsia="Times New Roman" w:hAnsi="Times New Roman"/>
        <w:sz w:val="12"/>
        <w:szCs w:val="12"/>
        <w:highlight w:val="white"/>
      </w:rPr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9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tabs>
        <w:tab w:val="center" w:leader="none" w:pos="4252"/>
        <w:tab w:val="right" w:leader="none" w:pos="8504"/>
        <w:tab w:val="center" w:leader="none" w:pos="4252"/>
        <w:tab w:val="left" w:leader="none" w:pos="6080"/>
        <w:tab w:val="right" w:leader="none" w:pos="8504"/>
      </w:tabs>
      <w:jc w:val="center"/>
      <w:rPr>
        <w:rFonts w:ascii="Montserrat" w:cs="Montserrat" w:eastAsia="Montserrat" w:hAnsi="Montserrat"/>
        <w:color w:val="808080"/>
        <w:sz w:val="8"/>
        <w:szCs w:val="8"/>
      </w:rPr>
    </w:pP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Página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b w:val="1"/>
        <w:color w:val="00000a"/>
        <w:sz w:val="12"/>
        <w:szCs w:val="12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B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808080"/>
        <w:sz w:val="12"/>
        <w:szCs w:val="1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57600" distT="57600" distL="57600" distR="57600" hidden="0" layoutInCell="1" locked="0" relativeHeight="0" simplePos="0">
          <wp:simplePos x="0" y="0"/>
          <wp:positionH relativeFrom="column">
            <wp:posOffset>7377075</wp:posOffset>
          </wp:positionH>
          <wp:positionV relativeFrom="paragraph">
            <wp:posOffset>76650</wp:posOffset>
          </wp:positionV>
          <wp:extent cx="1872000" cy="48321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72000" cy="48321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C">
    <w:pPr>
      <w:tabs>
        <w:tab w:val="center" w:leader="none" w:pos="4252"/>
        <w:tab w:val="right" w:leader="none" w:pos="8504"/>
      </w:tabs>
      <w:jc w:val="center"/>
      <w:rPr>
        <w:rFonts w:ascii="Calibri" w:cs="Calibri" w:eastAsia="Calibri" w:hAnsi="Calibri"/>
        <w:color w:val="808080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keepNext w:val="1"/>
      <w:widowControl w:val="0"/>
      <w:tabs>
        <w:tab w:val="center" w:leader="none" w:pos="4252"/>
        <w:tab w:val="right" w:leader="none" w:pos="9066"/>
      </w:tabs>
      <w:rPr>
        <w:rFonts w:ascii="Montserrat" w:cs="Montserrat" w:eastAsia="Montserrat" w:hAnsi="Montserrat"/>
        <w:b w:val="1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b w:val="1"/>
        <w:sz w:val="16"/>
        <w:szCs w:val="16"/>
        <w:highlight w:val="white"/>
        <w:rtl w:val="0"/>
      </w:rPr>
      <w:t xml:space="preserve">Centros de Arte, Cultura y Turismo. Cabildo de Lanzarote</w:t>
    </w:r>
  </w:p>
  <w:p w:rsidR="00000000" w:rsidDel="00000000" w:rsidP="00000000" w:rsidRDefault="00000000" w:rsidRPr="00000000" w14:paraId="0000012E">
    <w:pPr>
      <w:keepNext w:val="1"/>
      <w:widowControl w:val="0"/>
      <w:tabs>
        <w:tab w:val="center" w:leader="none" w:pos="4252"/>
        <w:tab w:val="right" w:leader="none" w:pos="8505"/>
      </w:tabs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C/ Triana, nº 38 . Arrecife de Lanzarote. 35500 </w:t>
    </w:r>
  </w:p>
  <w:p w:rsidR="00000000" w:rsidDel="00000000" w:rsidP="00000000" w:rsidRDefault="00000000" w:rsidRPr="00000000" w14:paraId="0000012F">
    <w:pPr>
      <w:keepNext w:val="1"/>
      <w:widowControl w:val="0"/>
      <w:tabs>
        <w:tab w:val="center" w:leader="none" w:pos="4252"/>
        <w:tab w:val="right" w:leader="none" w:pos="8504"/>
      </w:tabs>
      <w:rPr>
        <w:rFonts w:ascii="Montserrat" w:cs="Montserrat" w:eastAsia="Montserrat" w:hAnsi="Montserrat"/>
        <w:sz w:val="16"/>
        <w:szCs w:val="16"/>
        <w:highlight w:val="white"/>
      </w:rPr>
    </w:pPr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Teléfono: 928 80 15 00  </w:t>
    </w:r>
  </w:p>
  <w:p w:rsidR="00000000" w:rsidDel="00000000" w:rsidP="00000000" w:rsidRDefault="00000000" w:rsidRPr="00000000" w14:paraId="00000130">
    <w:pPr>
      <w:keepNext w:val="1"/>
      <w:widowControl w:val="0"/>
      <w:tabs>
        <w:tab w:val="center" w:leader="none" w:pos="4252"/>
        <w:tab w:val="right" w:leader="none" w:pos="8504"/>
      </w:tabs>
      <w:rPr/>
    </w:pPr>
    <w:hyperlink r:id="rId2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www.centrosturisticos.com</w:t>
      </w:r>
    </w:hyperlink>
    <w:r w:rsidDel="00000000" w:rsidR="00000000" w:rsidRPr="00000000">
      <w:rPr>
        <w:rFonts w:ascii="Montserrat" w:cs="Montserrat" w:eastAsia="Montserrat" w:hAnsi="Montserrat"/>
        <w:sz w:val="16"/>
        <w:szCs w:val="16"/>
        <w:highlight w:val="white"/>
        <w:rtl w:val="0"/>
      </w:rPr>
      <w:t xml:space="preserve"> | </w:t>
    </w:r>
    <w:hyperlink r:id="rId3">
      <w:r w:rsidDel="00000000" w:rsidR="00000000" w:rsidRPr="00000000">
        <w:rPr>
          <w:rFonts w:ascii="Montserrat" w:cs="Montserrat" w:eastAsia="Montserrat" w:hAnsi="Montserrat"/>
          <w:color w:val="1155cc"/>
          <w:sz w:val="16"/>
          <w:szCs w:val="16"/>
          <w:highlight w:val="white"/>
          <w:u w:val="single"/>
          <w:rtl w:val="0"/>
        </w:rPr>
        <w:t xml:space="preserve">www.cactlanzarote.com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C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295275</wp:posOffset>
          </wp:positionV>
          <wp:extent cx="1828800" cy="552298"/>
          <wp:effectExtent b="0" l="0" r="0" t="0"/>
          <wp:wrapSquare wrapText="bothSides" distB="114300" distT="11430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0D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1"/>
      <w:pageBreakBefore w:val="0"/>
      <w:tabs>
        <w:tab w:val="center" w:leader="none" w:pos="4252"/>
      </w:tabs>
      <w:rPr>
        <w:rFonts w:ascii="Verdana" w:cs="Verdana" w:eastAsia="Verdana" w:hAnsi="Verdana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F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1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highlight w:val="white"/>
        <w:u w:val="none"/>
        <w:vertAlign w:val="baseline"/>
        <w:rtl w:val="0"/>
      </w:rPr>
      <w:t xml:space="preserve">                         </w:t>
    </w:r>
    <w:r w:rsidDel="00000000" w:rsidR="00000000" w:rsidRPr="00000000">
      <w:rPr>
        <w:rFonts w:ascii="Times New Roman" w:cs="Times New Roman" w:eastAsia="Times New Roman" w:hAnsi="Times New Roman"/>
        <w:highlight w:val="white"/>
        <w:rtl w:val="0"/>
      </w:rPr>
      <w:t xml:space="preserve">                                             </w:t>
    </w:r>
  </w:p>
  <w:p w:rsidR="00000000" w:rsidDel="00000000" w:rsidP="00000000" w:rsidRDefault="00000000" w:rsidRPr="00000000" w14:paraId="00000112"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highlight w:val="whit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828800" cy="552298"/>
          <wp:effectExtent b="0" l="0" r="0" t="0"/>
          <wp:wrapSquare wrapText="bothSides" distB="114300" distT="114300" distL="114300" distR="11430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28800" cy="5522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1"/>
      <w:i w:val="1"/>
      <w:smallCaps w:val="0"/>
      <w:strike w:val="0"/>
      <w:color w:val="4f81bd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shd w:fill="auto" w:val="clear"/>
      <w:spacing w:after="0" w:before="0" w:line="240" w:lineRule="auto"/>
      <w:ind w:left="0" w:right="0" w:firstLine="0"/>
      <w:jc w:val="both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13" Type="http://schemas.openxmlformats.org/officeDocument/2006/relationships/header" Target="head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yperlink" Target="https://www.centrosturisticos.com/perfil-del-contratante/" TargetMode="External"/><Relationship Id="rId7" Type="http://schemas.openxmlformats.org/officeDocument/2006/relationships/hyperlink" Target="http://www.centrosturisticos.com" TargetMode="External"/><Relationship Id="rId8" Type="http://schemas.openxmlformats.org/officeDocument/2006/relationships/hyperlink" Target="https://contrataciondelestado.es/wps/portal/plataform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entrosturisticos.com" TargetMode="External"/><Relationship Id="rId3" Type="http://schemas.openxmlformats.org/officeDocument/2006/relationships/hyperlink" Target="http://www.cactlanzarot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