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COMPOSICIÓN Y PERSONAS TITULARES DE LOS ÓRGANOS DE GOBIERNO, DIRECCIÓN O ADMINISTRACIÓN DE LA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ENTIDAD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Los Órganos de Dirección y Gobierno están recogidos en el artículo 9 de los Estatutos de la Entidad Pública Empresarial Local “Centros de Arte, Cultura y Turismo de Lanzarote” (EPEL - CACT) publicados en el BOP de 24 de diciembre de 2004 con número 159 y dice así:</w:t>
      </w:r>
    </w:p>
    <w:p w:rsidR="00000000" w:rsidDel="00000000" w:rsidP="00000000" w:rsidRDefault="00000000" w:rsidRPr="00000000" w14:paraId="00000004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Los órganos de dirección y gobierno de la Entidad pública empresarial Centros de Arte, Cultura y Turismo de Lanzarote son los siguientes: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after="0" w:afterAutospacing="0" w:before="16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El Presidente de la EPEL.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Consejo de Administración.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Director Gerente.</w:t>
      </w:r>
    </w:p>
    <w:p w:rsidR="00000000" w:rsidDel="00000000" w:rsidP="00000000" w:rsidRDefault="00000000" w:rsidRPr="00000000" w14:paraId="00000008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Se puede consultar en el Portal de Transparencia de nuestra Entidad.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Las personas titulares de los Órganos de Dirección y Gobierno durante el año 2021 y actualizados hasta fecha 10 de julio de 2023 son: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before="16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 Presidenta de la EPEL: Doña María Dolores Corujo Berriel.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Consejo de Administración: a continuación se presentará un cuadro con los miembros del Consejo de Administración nombrados en la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sesión extraordinaria del pleno del Excmo. Cabildo de Lanzarote celebrada el día 16 de julio de 2019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y modificados y rectificados en la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sesión ordinaria del pleno del Excmo. Cabildo de Lanzarote celebrada el día 7 de octubre de 2019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. Por otro lado, se designa a D. Benjamín Perdomo Barreto representante y vocal, por el Grupo de Gobierno de este Cabildo Insular, en el Consejo de Administración de la EPEL-Centros de Arte, Cultura y Turismo” en la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sesión ordinaria del pleno del Excmo. Cabildo de Lanzarote celebrada el día 13 de diciembre de 2019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  <w:sectPr>
          <w:headerReference r:id="rId10" w:type="default"/>
          <w:footerReference r:id="rId11" w:type="default"/>
          <w:pgSz w:h="16838" w:w="11906" w:orient="portrait"/>
          <w:pgMar w:bottom="1403.5039370078755" w:top="1559.0551181102362" w:left="1133.858267716535" w:right="1132.2047244094488" w:header="136.06299212598427" w:footer="570.0000000000041"/>
          <w:pgNumType w:start="1"/>
        </w:sect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Director Gerente: no designado. Asume las funciones Don Benjamín Perdomo Barreto.</w:t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MIEMBROS DEL CONSEJO DE ADMINISTRACIÓN</w:t>
      </w:r>
    </w:p>
    <w:tbl>
      <w:tblPr>
        <w:tblStyle w:val="Table1"/>
        <w:tblW w:w="89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55"/>
        <w:tblGridChange w:id="0">
          <w:tblGrid>
            <w:gridCol w:w="895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Presidenta del Consejo de Administración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La Presidenta del Excmo. Cabildo de Lanzarote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D. María Dolores Corujo Berriel, Consejera de EPEL- CACT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No designado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Grupo de Gobierno del Excmo. Cabildo de Lanzarote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de Gobierno (PSOE - PP) - 60% de los votos</w:t>
            </w:r>
          </w:p>
          <w:p w:rsidR="00000000" w:rsidDel="00000000" w:rsidP="00000000" w:rsidRDefault="00000000" w:rsidRPr="00000000" w14:paraId="00000016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Benjamín Perdomo Barreto. (Pleno 20191213) - Consejero Delegado de EPEL-CACT</w:t>
            </w:r>
          </w:p>
          <w:p w:rsidR="00000000" w:rsidDel="00000000" w:rsidP="00000000" w:rsidRDefault="00000000" w:rsidRPr="00000000" w14:paraId="00000017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no designado</w:t>
            </w:r>
          </w:p>
          <w:p w:rsidR="00000000" w:rsidDel="00000000" w:rsidP="00000000" w:rsidRDefault="00000000" w:rsidRPr="00000000" w14:paraId="00000018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Ángel Vázquez Álvarez (Pleno 20190913)</w:t>
            </w:r>
          </w:p>
          <w:p w:rsidR="00000000" w:rsidDel="00000000" w:rsidP="00000000" w:rsidRDefault="00000000" w:rsidRPr="00000000" w14:paraId="00000019">
            <w:pPr>
              <w:widowControl w:val="0"/>
              <w:ind w:left="708.661417322834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Francisco Javier Aparicio Betancort (Pleno 20190913)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Consejeros del Excmo. Cabildo de Lanzarote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PSOE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Marcos Antonio Bergaz Villalba (Pleno 20190716 y CG 20190718)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Isabel María Martín Tenorio (Pleno 20190716 y CG 20190718)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CCa-PNC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Samuel Carmelo Martín Morera (Pleno 20190716 y CG 20190718)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Domingo Manuel Cejas Curbelo. (Pleno 20190716 y CG 20190718)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Popular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Jacobo Medina González (Pleno 20190913)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María Nerea Santana Alonso (Pleno 20190913) (Pleno 20190716 Ángel)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Mixto Podemos-Equo-Sí se puede (LEP-Sí Podemos)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Myriam Elisabeth Barros Grosso (Pleno 20190716 y CG 20190718)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Jorge Miguel Peñas Lozano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Representante de Yaiza, Haría y Tinajo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no designado en Pleno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no designado en Pleno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Asociaciones Empresariales del Sector Turístico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Dña. Susana Pérez Represa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D. Héctor Pulido Rodríguez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Representante del Comité de Empresa de los CACT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D. Guillermo Toledo Hernández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Representante de la Fundación César Manrique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 designado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Secretario del Consejo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D. Mariano de León Perdomo, Secretario del Excmo. Cabildo de Lanzarote</w:t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18"/>
          <w:szCs w:val="18"/>
        </w:rPr>
        <w:sectPr>
          <w:type w:val="nextPage"/>
          <w:pgSz w:h="16838" w:w="11906" w:orient="portrait"/>
          <w:pgMar w:bottom="1403.5039370078755" w:top="1559.0551181102362" w:left="1133.858267716535" w:right="1132.2047244094488" w:header="136.06299212598427" w:footer="570.000000000004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121050" cy="4980710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3100" y="262325"/>
                          <a:ext cx="6121050" cy="4980710"/>
                          <a:chOff x="243100" y="262325"/>
                          <a:chExt cx="7924975" cy="6449775"/>
                        </a:xfrm>
                      </wpg:grpSpPr>
                      <wps:wsp>
                        <wps:cNvCnPr/>
                        <wps:spPr>
                          <a:xfrm rot="-5400000">
                            <a:off x="2558275" y="-472675"/>
                            <a:ext cx="250800" cy="2484000"/>
                          </a:xfrm>
                          <a:prstGeom prst="bentConnector3">
                            <a:avLst>
                              <a:gd fmla="val 50015" name="adj1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687850" y="271850"/>
                            <a:ext cx="4475400" cy="3720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ÓRGANOS DE DIRECCIÓN Y GOBIERNO DE EPEL-CACT</w:t>
                              </w:r>
                            </w:p>
                          </w:txbxContent>
                        </wps:txbx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52625" y="894725"/>
                            <a:ext cx="2378100" cy="843600"/>
                          </a:xfrm>
                          <a:prstGeom prst="rect">
                            <a:avLst/>
                          </a:prstGeom>
                          <a:solidFill>
                            <a:srgbClr val="6D9EEB"/>
                          </a:solidFill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Presidenta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D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ña.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María Dolores Corujo Berriel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(President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a d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el Excmo. Cabildo Insular de Lanzarote)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500450" y="3515825"/>
                            <a:ext cx="2619300" cy="572400"/>
                          </a:xfrm>
                          <a:prstGeom prst="rect">
                            <a:avLst/>
                          </a:prstGeom>
                          <a:solidFill>
                            <a:srgbClr val="6D9EEB"/>
                          </a:solidFill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Director Gerente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Asume las funciones: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D. Benjamín Perdomo Barreto</w:t>
                              </w:r>
                            </w:p>
                          </w:txbxContent>
                        </wps:txbx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5055625" y="2667731"/>
                            <a:ext cx="2215200" cy="6378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Consejero Delegado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D. 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Benjamín Perdomo Barreto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(Pleno Ordinario del Cabildo 13/12/2019)</w:t>
                              </w:r>
                            </w:p>
                          </w:txbxContent>
                        </wps:txbx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5055625" y="1560225"/>
                            <a:ext cx="2215200" cy="9084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President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del Consejo de Administración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Dña.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María Dolores Corujo Berriel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(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Pleno Ordinario del Cabildo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07/10/2019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)</w:t>
                              </w:r>
                            </w:p>
                          </w:txbxContent>
                        </wps:txbx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52625" y="4228325"/>
                            <a:ext cx="2125500" cy="20463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83.62199783325195" w:firstLine="141.73199653625488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Funciones: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83.6219978332519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83.6219978332519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Ostentará la máxima representación e inspección de la misma ante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83.6219978332519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toda clase de personas y Organismos, pudiendo otorgar los poderes 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83.6219978332519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delegaciones necesarias, dentro del marco de sus competencias.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83.6219978332519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83.62199783325195" w:firstLine="141.73199653625488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(Cap.II, Sección 2ª. Art. 10 de los Estatutos de la Entidad)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83.62199783325195" w:firstLine="141.73199653625488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5055625" y="894725"/>
                            <a:ext cx="2215200" cy="572400"/>
                          </a:xfrm>
                          <a:prstGeom prst="rect">
                            <a:avLst/>
                          </a:prstGeom>
                          <a:solidFill>
                            <a:srgbClr val="6D9EEB"/>
                          </a:solidFill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Consejo de Administración</w:t>
                              </w:r>
                            </w:p>
                          </w:txbxContent>
                        </wps:txbx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5674550" y="4228175"/>
                            <a:ext cx="2484000" cy="24744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135.35400390625" w:firstLine="141.73199653625488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Funciones: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135.3540039062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135.3540039062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El Consejo de Administración, como órgano de supervisión y control del gobierno y de la dirección superior del servicio, determina las líneas generales de actuación de la Entidad.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135.3540039062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83.62199783325195" w:firstLine="141.73199653625488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(Cap.II, Sección 3ª. Art. 14.1  de los Estatutos de la Entidad)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135.3540039062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135.3540039062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El Consejo de Administración, podrá, con carácter general, delegar sus atribuciones y facultades en el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Presidente del Consejo de Administración o en el Consejero Delegado.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135.3540039062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135.35400390625" w:firstLine="141.73199653625488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(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Cap.II, Sección 3ª. Art. 14.1  de los Estatutos de la Entidad)</w:t>
                              </w:r>
                            </w:p>
                          </w:txbxContent>
                        </wps:txbx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493100" y="4228175"/>
                            <a:ext cx="2619300" cy="24744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68.62199783325195" w:firstLine="141.73199653625488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Funciones: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68.6219978332519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68.6219978332519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El Director Gerente es el órgano ejecutivo al que corresponden las funciones de Gestión, Administración y Dirección, propias de la gerencia, y a través del cual se hacen efectivos los acuerdos del Consejo de Administración.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68.6219978332519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68.6219978332519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El Director Gerente será sustituido en caso de vacante, ausencia, enfermedad o impedimento legal por aquel miembro directivo de la Entidad que, a propuesta del Presidente del Consejo de Administración, determine el Consejo de Administración.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68.62199783325195" w:firstLine="141.73199653625488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1.73199653625488" w:right="83.62199783325195" w:firstLine="141.73199653625488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(Cap.II, Sección 5ª. Art. 32  de los Estatutos de la Entidad)</w:t>
                              </w:r>
                            </w:p>
                          </w:txbxContent>
                        </wps:txbx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CnPr/>
                        <wps:spPr>
                          <a:xfrm rot="-5400000">
                            <a:off x="4881550" y="2234075"/>
                            <a:ext cx="210300" cy="2353200"/>
                          </a:xfrm>
                          <a:prstGeom prst="bentConnector3">
                            <a:avLst>
                              <a:gd fmla="val 49999" name="adj1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CnPr/>
                        <wps:spPr>
                          <a:xfrm rot="-5400000">
                            <a:off x="6063925" y="2567831"/>
                            <a:ext cx="199200" cy="600"/>
                          </a:xfrm>
                          <a:prstGeom prst="bentConnector3">
                            <a:avLst>
                              <a:gd fmla="val 49976" name="adj1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CnPr/>
                        <wps:spPr>
                          <a:xfrm rot="-5400000">
                            <a:off x="6117025" y="1513425"/>
                            <a:ext cx="93000" cy="600"/>
                          </a:xfrm>
                          <a:prstGeom prst="bentConnector3">
                            <a:avLst>
                              <a:gd fmla="val 50054" name="adj1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CnPr/>
                        <wps:spPr>
                          <a:xfrm flipH="1" rot="5400000">
                            <a:off x="4918975" y="-349525"/>
                            <a:ext cx="250800" cy="2237700"/>
                          </a:xfrm>
                          <a:prstGeom prst="bentConnector3">
                            <a:avLst>
                              <a:gd fmla="val 50015" name="adj1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106900" lIns="106900" spcFirstLastPara="1" rIns="106900" wrap="square" tIns="10690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163225" y="3305531"/>
                            <a:ext cx="3000" cy="1154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802750" y="422817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1438675" y="1738325"/>
                            <a:ext cx="3000" cy="2526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3802900" y="4088225"/>
                            <a:ext cx="7200" cy="140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121050" cy="4980710"/>
                <wp:effectExtent b="0" l="0" r="0" t="0"/>
                <wp:wrapTopAndBottom distB="114300" distT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050" cy="4980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38" w:w="11906" w:orient="portrait"/>
      <w:pgMar w:bottom="1403.5039370078755" w:top="1559.0551181102362" w:left="1133.858267716535" w:right="1132.2047244094488" w:header="136.06299212598427" w:footer="570.000000000004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46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47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48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4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image" Target="media/image3.png"/><Relationship Id="rId9" Type="http://schemas.openxmlformats.org/officeDocument/2006/relationships/hyperlink" Target="https://www.cabildodelanzarote.com/documents/35307/5595e32c-cb68-f67d-1558-4bf880c639f4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transparencia/#Institucional" TargetMode="External"/><Relationship Id="rId7" Type="http://schemas.openxmlformats.org/officeDocument/2006/relationships/hyperlink" Target="https://www.cabildodelanzarote.com/documents/35307/5bed3a50-56a1-8aa9-b43c-890ebda7a0a3" TargetMode="External"/><Relationship Id="rId8" Type="http://schemas.openxmlformats.org/officeDocument/2006/relationships/hyperlink" Target="https://www.cabildodelanzarote.com/documents/35307/c3ad85b2-0a2c-6d3f-8f4b-91a033609c7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