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rtl w:val="0"/>
        </w:rPr>
        <w:t xml:space="preserve">PERIODO MEDIO DE PAGO (PMP)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color w:val="00000a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El período medio de pago definido en el Real Decreto 1040/2017, de 22 de diciembre, por el que se modifica el Real Decreto 635/2014, de 25 de julio, mide el retraso en el pago de la deuda comercial en términos económicos, como indicador distinto respecto del periodo legal de pago en la Ley 3/2004, de 29 de diciembre, por la que se establecen medidas de lucha contra la morosidad en las operaciones comerciales. </w:t>
      </w:r>
    </w:p>
    <w:p w:rsidR="00000000" w:rsidDel="00000000" w:rsidP="00000000" w:rsidRDefault="00000000" w:rsidRPr="00000000" w14:paraId="00000004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color w:val="00000a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A continuación se presenta el Periodo Medio de Pago de la Entidad Pública Empresarial Local “Centros de Arte, Cultura y Turismo de Lanzarote” del año </w:t>
      </w: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05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center"/>
        <w:tblBorders>
          <w:top w:color="4a5f8a" w:space="0" w:sz="4" w:val="single"/>
          <w:left w:color="4a5f8a" w:space="0" w:sz="4" w:val="single"/>
          <w:bottom w:color="4a5f8a" w:space="0" w:sz="4" w:val="single"/>
          <w:right w:color="4a5f8a" w:space="0" w:sz="4" w:val="single"/>
          <w:insideH w:color="4a5f8a" w:space="0" w:sz="4" w:val="single"/>
          <w:insideV w:color="4a5f8a" w:space="0" w:sz="4" w:val="single"/>
        </w:tblBorders>
        <w:tblLayout w:type="fixed"/>
        <w:tblLook w:val="0600"/>
      </w:tblPr>
      <w:tblGrid>
        <w:gridCol w:w="3840"/>
        <w:gridCol w:w="1455"/>
        <w:gridCol w:w="1455"/>
        <w:gridCol w:w="1455"/>
        <w:gridCol w:w="1455"/>
        <w:tblGridChange w:id="0">
          <w:tblGrid>
            <w:gridCol w:w="3840"/>
            <w:gridCol w:w="1455"/>
            <w:gridCol w:w="1455"/>
            <w:gridCol w:w="1455"/>
            <w:gridCol w:w="14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spacing w:before="28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Pagos Realizados en el Periodo</w:t>
            </w:r>
          </w:p>
        </w:tc>
        <w:tc>
          <w:tcPr>
            <w:gridSpan w:val="4"/>
            <w:vMerge w:val="restart"/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Periodo Medio</w:t>
            </w:r>
          </w:p>
          <w:p w:rsidR="00000000" w:rsidDel="00000000" w:rsidP="00000000" w:rsidRDefault="00000000" w:rsidRPr="00000000" w14:paraId="00000008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Pago (PMP)</w:t>
            </w:r>
          </w:p>
          <w:p w:rsidR="00000000" w:rsidDel="00000000" w:rsidP="00000000" w:rsidRDefault="00000000" w:rsidRPr="00000000" w14:paraId="00000009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(días)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PRIMER TRIMESTRE</w:t>
            </w:r>
          </w:p>
          <w:p w:rsidR="00000000" w:rsidDel="00000000" w:rsidP="00000000" w:rsidRDefault="00000000" w:rsidRPr="00000000" w14:paraId="00000014">
            <w:pPr>
              <w:widowControl w:val="1"/>
              <w:spacing w:before="0" w:line="240" w:lineRule="auto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(Q1)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SEGUNDO TRIMESTRE</w:t>
            </w:r>
          </w:p>
          <w:p w:rsidR="00000000" w:rsidDel="00000000" w:rsidP="00000000" w:rsidRDefault="00000000" w:rsidRPr="00000000" w14:paraId="00000016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(Q2)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TERCER TRIMESTRE</w:t>
            </w:r>
          </w:p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(Q3)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e1e8ee" w:val="clear"/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CUARTO TRIMESTRE</w:t>
            </w:r>
          </w:p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(Q4)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Aprovisionamiento y otros gastos de explotación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4,20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4,45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5,20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6,30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Adquisiciones de inmovilizado material e intangible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 Sin desagregar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right"/>
              <w:rPr>
                <w:rFonts w:ascii="Montserrat" w:cs="Montserrat" w:eastAsia="Montserrat" w:hAnsi="Montserrat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spacing w:before="0" w:line="240" w:lineRule="auto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4,20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4,45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5,20</w:t>
            </w:r>
          </w:p>
        </w:tc>
        <w:tc>
          <w:tcPr>
            <w:tcBorders>
              <w:top w:color="4a5f8a" w:space="0" w:sz="4" w:val="single"/>
              <w:left w:color="4a5f8a" w:space="0" w:sz="4" w:val="single"/>
              <w:bottom w:color="4a5f8a" w:space="0" w:sz="4" w:val="single"/>
              <w:right w:color="4a5f8a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before="0" w:line="240" w:lineRule="auto"/>
              <w:jc w:val="right"/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0"/>
                <w:szCs w:val="20"/>
                <w:rtl w:val="0"/>
              </w:rPr>
              <w:t xml:space="preserve">6,30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60" w:line="360" w:lineRule="auto"/>
        <w:jc w:val="lef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6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6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2061" w:top="2565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1"/>
      <w:widowControl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1"/>
      <w:widowControl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B">
    <w:pPr>
      <w:keepNext w:val="1"/>
      <w:widowControl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C">
    <w:pPr>
      <w:keepNext w:val="1"/>
      <w:widowControl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D">
    <w:pPr>
      <w:keepNext w:val="1"/>
      <w:widowControl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b w:val="1"/>
        <w:sz w:val="16"/>
        <w:szCs w:val="16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-54320</wp:posOffset>
          </wp:positionH>
          <wp:positionV relativeFrom="paragraph">
            <wp:posOffset>-166922</wp:posOffset>
          </wp:positionV>
          <wp:extent cx="1828800" cy="55229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